
<file path=[Content_Types].xml><?xml version="1.0" encoding="utf-8"?>
<Types xmlns="http://schemas.openxmlformats.org/package/2006/content-types">
  <Default Extension="xml" ContentType="application/xml"/>
  <Default Extension="jpeg" ContentType="image/jpeg"/>
  <Default Extension="JPG" ContentType="image/.jp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67.140.10</w:t>
            </w:r>
            <w:r>
              <w:rPr>
                <w:rFonts w:ascii="黑体" w:hAnsi="黑体" w:eastAsia="黑体"/>
                <w:sz w:val="21"/>
                <w:szCs w:val="21"/>
              </w:rPr>
              <w:t xml:space="preserve"> </w:t>
            </w:r>
            <w:r>
              <w:rPr>
                <w:rFonts w:ascii="黑体" w:hAnsi="黑体" w:eastAsia="黑体"/>
                <w:sz w:val="21"/>
                <w:szCs w:val="21"/>
              </w:rPr>
              <w:fldChar w:fldCharType="end"/>
            </w:r>
            <w:bookmarkEnd w:id="0"/>
          </w:p>
        </w:tc>
      </w:tr>
      <w:tr>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X55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rPr>
        <w:t>1264</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w:t>
      </w:r>
      <w:r>
        <w:rPr>
          <w:rFonts w:hint="eastAsia"/>
        </w:rPr>
        <w:t>4</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int="eastAsia" w:hAnsi="黑体"/>
        </w:rPr>
        <w:t>代替DB 32/T 1264-2017</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w:pict>
          <v:line id="直接连接符 73" o:spid="_x0000_s1026"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v:path arrowok="t"/>
            <v:fill focussize="0,0"/>
            <v:stroke/>
            <v:imagedata o:title=""/>
            <o:lock v:ext="edit"/>
          </v:line>
        </w:pic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天目湖</w:t>
      </w:r>
      <w:r>
        <w:t>白茶质量分级</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Quality grading of Tianmuhu bai</w:t>
      </w:r>
      <w:r>
        <w:rPr>
          <w:rFonts w:hint="eastAsia" w:eastAsia="黑体"/>
          <w:szCs w:val="28"/>
        </w:rPr>
        <w:t>cha</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w:t>
      </w:r>
      <w:r>
        <w:rPr>
          <w:rFonts w:hint="eastAsia" w:ascii="黑体"/>
        </w:rPr>
        <w:t>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w:t>
      </w:r>
      <w:r>
        <w:rPr>
          <w:rFonts w:hint="eastAsia" w:ascii="黑体"/>
        </w:rPr>
        <w:t>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江苏省</w:t>
      </w:r>
      <w:r>
        <w:rPr>
          <w:rFonts w:hint="eastAsia" w:hAnsi="黑体"/>
          <w:w w:val="100"/>
          <w:sz w:val="28"/>
        </w:rPr>
        <w:t>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w:pict>
          <v:line id="直接连接符 5" o:spid="_x0000_s1027"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v:path arrowok="t"/>
            <v:fill focussize="0,0"/>
            <v:stroke/>
            <v:imagedata o:title=""/>
            <o:lock v:ext="edit"/>
            <w10:anchorlock/>
          </v:line>
        </w:pict>
      </w:r>
    </w:p>
    <w:p>
      <w:pPr>
        <w:pStyle w:val="89"/>
        <w:spacing w:before="900" w:after="468"/>
      </w:pPr>
      <w:bookmarkStart w:id="21" w:name="BookMark2"/>
      <w:r>
        <w:rPr>
          <w:spacing w:val="320"/>
        </w:rPr>
        <w:t>前</w:t>
      </w:r>
      <w:r>
        <w:t>言</w:t>
      </w:r>
    </w:p>
    <w:p>
      <w:pPr>
        <w:pStyle w:val="56"/>
        <w:ind w:firstLine="420"/>
        <w:rPr>
          <w:highlight w:val="none"/>
        </w:rPr>
      </w:pPr>
      <w:r>
        <w:rPr>
          <w:rFonts w:hint="eastAsia"/>
        </w:rPr>
        <w:t>本文件按照GB/T 1.1—2020《标准化工作导则  第1部分：标准化文件的结构和起草规则》的规定</w:t>
      </w:r>
      <w:r>
        <w:rPr>
          <w:rFonts w:hint="eastAsia"/>
          <w:highlight w:val="none"/>
        </w:rPr>
        <w:t>起草。</w:t>
      </w:r>
    </w:p>
    <w:p>
      <w:pPr>
        <w:pStyle w:val="56"/>
        <w:ind w:firstLine="420"/>
        <w:rPr>
          <w:highlight w:val="none"/>
        </w:rPr>
      </w:pPr>
      <w:r>
        <w:rPr>
          <w:highlight w:val="none"/>
        </w:rPr>
        <w:t>本</w:t>
      </w:r>
      <w:r>
        <w:rPr>
          <w:rFonts w:hint="eastAsia"/>
          <w:highlight w:val="none"/>
        </w:rPr>
        <w:t>文件</w:t>
      </w:r>
      <w:r>
        <w:rPr>
          <w:highlight w:val="none"/>
        </w:rPr>
        <w:t>代替DB32</w:t>
      </w:r>
      <w:r>
        <w:rPr>
          <w:rFonts w:hint="eastAsia"/>
          <w:highlight w:val="none"/>
        </w:rPr>
        <w:t>/</w:t>
      </w:r>
      <w:r>
        <w:rPr>
          <w:highlight w:val="none"/>
        </w:rPr>
        <w:t>T 1264-20</w:t>
      </w:r>
      <w:r>
        <w:rPr>
          <w:rFonts w:hint="eastAsia"/>
          <w:highlight w:val="none"/>
        </w:rPr>
        <w:t>17《天目湖白茶质量分级》，</w:t>
      </w:r>
      <w:r>
        <w:rPr>
          <w:highlight w:val="none"/>
        </w:rPr>
        <w:t>与DB32</w:t>
      </w:r>
      <w:r>
        <w:rPr>
          <w:rFonts w:hint="eastAsia"/>
          <w:highlight w:val="none"/>
        </w:rPr>
        <w:t>/</w:t>
      </w:r>
      <w:r>
        <w:rPr>
          <w:highlight w:val="none"/>
        </w:rPr>
        <w:t>T 1264-</w:t>
      </w:r>
      <w:r>
        <w:rPr>
          <w:rFonts w:hint="eastAsia"/>
          <w:highlight w:val="none"/>
        </w:rPr>
        <w:t>2017</w:t>
      </w:r>
      <w:r>
        <w:rPr>
          <w:highlight w:val="none"/>
        </w:rPr>
        <w:t>相比，除结构调整和编辑性改动外，主要技术变化如下：</w:t>
      </w:r>
    </w:p>
    <w:p>
      <w:pPr>
        <w:pStyle w:val="174"/>
        <w:rPr>
          <w:highlight w:val="none"/>
        </w:rPr>
      </w:pPr>
      <w:bookmarkStart w:id="22" w:name="OLE_LINK3"/>
      <w:r>
        <w:rPr>
          <w:highlight w:val="none"/>
        </w:rPr>
        <w:t>规范性引用文件，增加了GB 2762</w:t>
      </w:r>
      <w:r>
        <w:rPr>
          <w:rFonts w:hint="eastAsia"/>
          <w:highlight w:val="none"/>
        </w:rPr>
        <w:t xml:space="preserve">、 </w:t>
      </w:r>
      <w:r>
        <w:rPr>
          <w:highlight w:val="none"/>
        </w:rPr>
        <w:t>GB 2763</w:t>
      </w:r>
      <w:r>
        <w:rPr>
          <w:rFonts w:hint="eastAsia"/>
          <w:highlight w:val="none"/>
        </w:rPr>
        <w:t>、</w:t>
      </w:r>
      <w:r>
        <w:rPr>
          <w:rFonts w:hAnsi="宋体" w:cs="宋体"/>
          <w:highlight w:val="none"/>
        </w:rPr>
        <w:t>GB 23350</w:t>
      </w:r>
      <w:bookmarkEnd w:id="22"/>
      <w:r>
        <w:rPr>
          <w:rFonts w:hint="eastAsia"/>
          <w:highlight w:val="none"/>
        </w:rPr>
        <w:t>（见第2章）</w:t>
      </w:r>
      <w:r>
        <w:rPr>
          <w:highlight w:val="none"/>
        </w:rPr>
        <w:t>。</w:t>
      </w:r>
    </w:p>
    <w:p>
      <w:pPr>
        <w:pStyle w:val="174"/>
        <w:rPr>
          <w:highlight w:val="none"/>
        </w:rPr>
      </w:pPr>
      <w:r>
        <w:rPr>
          <w:rFonts w:hint="eastAsia"/>
          <w:highlight w:val="none"/>
        </w:rPr>
        <w:t>增加</w:t>
      </w:r>
      <w:r>
        <w:rPr>
          <w:highlight w:val="none"/>
        </w:rPr>
        <w:t>了卷曲形天目湖白茶感官要求</w:t>
      </w:r>
      <w:r>
        <w:rPr>
          <w:rFonts w:hint="eastAsia"/>
          <w:highlight w:val="none"/>
        </w:rPr>
        <w:t>（见5.2，2017版的5.2）。</w:t>
      </w:r>
    </w:p>
    <w:p>
      <w:pPr>
        <w:pStyle w:val="174"/>
        <w:rPr>
          <w:highlight w:val="none"/>
        </w:rPr>
      </w:pPr>
      <w:r>
        <w:rPr>
          <w:highlight w:val="none"/>
        </w:rPr>
        <w:t>修</w:t>
      </w:r>
      <w:r>
        <w:rPr>
          <w:rFonts w:hint="eastAsia"/>
          <w:highlight w:val="none"/>
        </w:rPr>
        <w:t>改</w:t>
      </w:r>
      <w:r>
        <w:rPr>
          <w:highlight w:val="none"/>
        </w:rPr>
        <w:t>了碎末指标</w:t>
      </w:r>
      <w:r>
        <w:rPr>
          <w:rFonts w:hint="eastAsia"/>
          <w:highlight w:val="none"/>
        </w:rPr>
        <w:t>，</w:t>
      </w:r>
      <w:r>
        <w:rPr>
          <w:highlight w:val="none"/>
        </w:rPr>
        <w:t>改为粉末指标</w:t>
      </w:r>
      <w:r>
        <w:rPr>
          <w:rFonts w:hint="eastAsia"/>
          <w:highlight w:val="none"/>
        </w:rPr>
        <w:t>，</w:t>
      </w:r>
      <w:r>
        <w:rPr>
          <w:highlight w:val="none"/>
        </w:rPr>
        <w:t>并修改了限量值</w:t>
      </w:r>
      <w:r>
        <w:rPr>
          <w:rFonts w:hint="eastAsia"/>
          <w:highlight w:val="none"/>
        </w:rPr>
        <w:t>（见5.3，2017版的5.3）。</w:t>
      </w:r>
    </w:p>
    <w:p>
      <w:pPr>
        <w:pStyle w:val="174"/>
        <w:rPr>
          <w:highlight w:val="none"/>
        </w:rPr>
      </w:pPr>
      <w:r>
        <w:rPr>
          <w:rFonts w:hint="eastAsia"/>
          <w:highlight w:val="none"/>
        </w:rPr>
        <w:t>增加</w:t>
      </w:r>
      <w:r>
        <w:rPr>
          <w:highlight w:val="none"/>
        </w:rPr>
        <w:t>了“食品安全指标”要求</w:t>
      </w:r>
      <w:r>
        <w:rPr>
          <w:rFonts w:hint="eastAsia"/>
          <w:highlight w:val="none"/>
        </w:rPr>
        <w:t>。污染物</w:t>
      </w:r>
      <w:r>
        <w:rPr>
          <w:highlight w:val="none"/>
        </w:rPr>
        <w:t>限量应符合GB 2762的规定</w:t>
      </w:r>
      <w:r>
        <w:rPr>
          <w:rFonts w:hint="eastAsia"/>
          <w:highlight w:val="none"/>
        </w:rPr>
        <w:t>，</w:t>
      </w:r>
      <w:r>
        <w:rPr>
          <w:highlight w:val="none"/>
        </w:rPr>
        <w:t>农药残留限量应符合GB 2763的规定</w:t>
      </w:r>
      <w:r>
        <w:rPr>
          <w:rFonts w:hint="eastAsia"/>
          <w:highlight w:val="none"/>
        </w:rPr>
        <w:t>（见5.4）</w:t>
      </w:r>
      <w:r>
        <w:rPr>
          <w:highlight w:val="none"/>
        </w:rPr>
        <w:t>。</w:t>
      </w:r>
    </w:p>
    <w:p>
      <w:pPr>
        <w:pStyle w:val="174"/>
        <w:rPr>
          <w:highlight w:val="none"/>
        </w:rPr>
      </w:pPr>
      <w:r>
        <w:rPr>
          <w:rFonts w:hint="eastAsia"/>
          <w:highlight w:val="none"/>
        </w:rPr>
        <w:t>增加</w:t>
      </w:r>
      <w:r>
        <w:rPr>
          <w:highlight w:val="none"/>
        </w:rPr>
        <w:t>了“</w:t>
      </w:r>
      <w:r>
        <w:rPr>
          <w:rFonts w:hint="eastAsia"/>
          <w:highlight w:val="none"/>
        </w:rPr>
        <w:t>净含量</w:t>
      </w:r>
      <w:r>
        <w:rPr>
          <w:highlight w:val="none"/>
        </w:rPr>
        <w:t>”要求。净含量</w:t>
      </w:r>
      <w:r>
        <w:rPr>
          <w:rFonts w:hint="eastAsia"/>
          <w:highlight w:val="none"/>
        </w:rPr>
        <w:t>应符合《定量包装商品计量监督管理办法》的规定（见5.5）。</w:t>
      </w:r>
    </w:p>
    <w:p>
      <w:pPr>
        <w:pStyle w:val="174"/>
        <w:rPr>
          <w:highlight w:val="none"/>
        </w:rPr>
      </w:pPr>
      <w:r>
        <w:rPr>
          <w:highlight w:val="none"/>
        </w:rPr>
        <w:t>删除了</w:t>
      </w:r>
      <w:r>
        <w:rPr>
          <w:rFonts w:hint="eastAsia"/>
          <w:highlight w:val="none"/>
        </w:rPr>
        <w:t>保质期</w:t>
      </w:r>
      <w:r>
        <w:rPr>
          <w:highlight w:val="none"/>
        </w:rPr>
        <w:t>的要求</w:t>
      </w:r>
      <w:r>
        <w:rPr>
          <w:rFonts w:hint="eastAsia"/>
          <w:highlight w:val="none"/>
        </w:rPr>
        <w:t>（见2017版的第10章）</w:t>
      </w:r>
      <w:r>
        <w:rPr>
          <w:highlight w:val="none"/>
        </w:rPr>
        <w:t>。</w:t>
      </w:r>
    </w:p>
    <w:p>
      <w:pPr>
        <w:pStyle w:val="56"/>
        <w:ind w:firstLine="420"/>
        <w:rPr>
          <w:highlight w:val="none"/>
        </w:rPr>
      </w:pPr>
      <w:r>
        <w:rPr>
          <w:rFonts w:hint="eastAsia"/>
          <w:highlight w:val="none"/>
        </w:rPr>
        <w:t>请注意本文件的某些内容可能涉及专利。本文件的发布机构不承担识别专利的责任。</w:t>
      </w:r>
    </w:p>
    <w:p>
      <w:pPr>
        <w:pStyle w:val="56"/>
        <w:ind w:firstLine="420"/>
        <w:rPr>
          <w:highlight w:val="none"/>
        </w:rPr>
      </w:pPr>
      <w:r>
        <w:rPr>
          <w:rFonts w:hint="eastAsia"/>
          <w:highlight w:val="none"/>
        </w:rPr>
        <w:t>本文件由溧阳市市场综合检验检测中心提出。</w:t>
      </w:r>
    </w:p>
    <w:p>
      <w:pPr>
        <w:pStyle w:val="56"/>
        <w:ind w:firstLine="420"/>
        <w:rPr>
          <w:highlight w:val="none"/>
        </w:rPr>
      </w:pPr>
      <w:r>
        <w:rPr>
          <w:rFonts w:hint="eastAsia"/>
          <w:highlight w:val="none"/>
        </w:rPr>
        <w:t>本文件由江苏省茶产业标准化技术委员会归口并组织实施。</w:t>
      </w:r>
    </w:p>
    <w:p>
      <w:pPr>
        <w:pStyle w:val="56"/>
        <w:ind w:firstLine="420"/>
        <w:rPr>
          <w:highlight w:val="none"/>
        </w:rPr>
      </w:pPr>
      <w:r>
        <w:rPr>
          <w:rFonts w:hint="eastAsia"/>
          <w:highlight w:val="none"/>
        </w:rPr>
        <w:t>本文件起草单位：溧阳市市场综合检验检测中心（江苏省茶叶产品质量检验检测中心）、</w:t>
      </w:r>
      <w:r>
        <w:rPr>
          <w:highlight w:val="none"/>
        </w:rPr>
        <w:t>溧阳市天目湖玉枝特种茶果园艺场</w:t>
      </w:r>
      <w:r>
        <w:rPr>
          <w:rFonts w:hint="eastAsia"/>
          <w:highlight w:val="none"/>
        </w:rPr>
        <w:t>。</w:t>
      </w:r>
    </w:p>
    <w:p>
      <w:pPr>
        <w:pStyle w:val="56"/>
        <w:ind w:firstLine="420"/>
        <w:rPr>
          <w:highlight w:val="none"/>
        </w:rPr>
      </w:pPr>
      <w:bookmarkStart w:id="23" w:name="OLE_LINK2"/>
      <w:bookmarkStart w:id="24" w:name="OLE_LINK1"/>
      <w:r>
        <w:rPr>
          <w:rFonts w:hint="eastAsia"/>
          <w:highlight w:val="none"/>
        </w:rPr>
        <w:t>本文件主要起草人：</w:t>
      </w:r>
      <w:bookmarkStart w:id="25" w:name="OLE_LINK24"/>
      <w:r>
        <w:rPr>
          <w:rFonts w:hint="eastAsia"/>
          <w:highlight w:val="none"/>
        </w:rPr>
        <w:t>宋红波、魏继燕、余辉、蔡超、王栋、陈伟、濮爱玉、李磊、周旭凯、陈慧萍、王永芳、濮学栋。</w:t>
      </w:r>
      <w:bookmarkEnd w:id="25"/>
      <w:r>
        <w:rPr>
          <w:highlight w:val="none"/>
        </w:rPr>
        <w:t xml:space="preserve"> </w:t>
      </w:r>
    </w:p>
    <w:bookmarkEnd w:id="23"/>
    <w:bookmarkEnd w:id="24"/>
    <w:p>
      <w:pPr>
        <w:pStyle w:val="56"/>
        <w:ind w:firstLine="420"/>
        <w:rPr>
          <w:highlight w:val="none"/>
        </w:rPr>
      </w:pPr>
      <w:r>
        <w:rPr>
          <w:highlight w:val="none"/>
        </w:rPr>
        <w:t>本</w:t>
      </w:r>
      <w:r>
        <w:rPr>
          <w:rFonts w:hint="eastAsia"/>
          <w:highlight w:val="none"/>
        </w:rPr>
        <w:t>文件于</w:t>
      </w:r>
      <w:r>
        <w:rPr>
          <w:highlight w:val="none"/>
        </w:rPr>
        <w:t>2008年首次发布，2016年第一次修订</w:t>
      </w:r>
      <w:r>
        <w:rPr>
          <w:rFonts w:hint="eastAsia"/>
          <w:highlight w:val="none"/>
        </w:rPr>
        <w:t>，本次为</w:t>
      </w:r>
      <w:r>
        <w:rPr>
          <w:highlight w:val="none"/>
        </w:rPr>
        <w:t>第二次修订。</w:t>
      </w:r>
    </w:p>
    <w:p>
      <w:pPr>
        <w:pStyle w:val="56"/>
        <w:ind w:firstLine="420"/>
      </w:pPr>
    </w:p>
    <w:p>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1"/>
    <w:p>
      <w:pPr>
        <w:spacing w:line="20" w:lineRule="exact"/>
        <w:jc w:val="center"/>
        <w:rPr>
          <w:rFonts w:ascii="黑体" w:hAnsi="黑体" w:eastAsia="黑体"/>
          <w:sz w:val="32"/>
          <w:szCs w:val="32"/>
        </w:rPr>
      </w:pPr>
      <w:bookmarkStart w:id="26" w:name="BookMark4"/>
    </w:p>
    <w:p>
      <w:pPr>
        <w:spacing w:line="20" w:lineRule="exact"/>
        <w:jc w:val="center"/>
        <w:rPr>
          <w:rFonts w:ascii="黑体" w:hAnsi="黑体" w:eastAsia="黑体"/>
          <w:sz w:val="32"/>
          <w:szCs w:val="32"/>
        </w:rPr>
      </w:pPr>
    </w:p>
    <w:sdt>
      <w:sdtPr>
        <w:tag w:val="NEW_STAND_NAME"/>
        <w:id w:val="595910757"/>
        <w:lock w:val="sdtLocked"/>
        <w:placeholder>
          <w:docPart w:val="F8537652F6734802AA325146ED5BE7C5"/>
        </w:placeholder>
      </w:sdtPr>
      <w:sdtContent>
        <w:p>
          <w:pPr>
            <w:spacing w:before="101" w:line="226" w:lineRule="auto"/>
            <w:ind w:left="3244"/>
            <w:outlineLvl w:val="0"/>
            <w:rPr>
              <w:rFonts w:ascii="黑体" w:hAnsi="黑体" w:eastAsia="黑体" w:cs="黑体"/>
              <w:sz w:val="31"/>
              <w:szCs w:val="31"/>
            </w:rPr>
          </w:pPr>
          <w:bookmarkStart w:id="27" w:name="NEW_STAND_NAME"/>
          <w:r>
            <w:rPr>
              <w:rFonts w:ascii="黑体" w:hAnsi="黑体" w:eastAsia="黑体" w:cs="黑体"/>
              <w:spacing w:val="8"/>
              <w:sz w:val="31"/>
              <w:szCs w:val="31"/>
            </w:rPr>
            <w:t>天目湖白茶质量分级</w:t>
          </w:r>
        </w:p>
      </w:sdtContent>
    </w:sdt>
    <w:bookmarkEnd w:id="27"/>
    <w:p>
      <w:pPr>
        <w:pStyle w:val="104"/>
        <w:spacing w:before="312" w:after="312"/>
      </w:pPr>
      <w:bookmarkStart w:id="28" w:name="_Toc17233333"/>
      <w:bookmarkStart w:id="29" w:name="_Toc24884211"/>
      <w:bookmarkStart w:id="30" w:name="_Toc26986771"/>
      <w:bookmarkStart w:id="31" w:name="_Toc26718930"/>
      <w:bookmarkStart w:id="32" w:name="_Toc26986530"/>
      <w:bookmarkStart w:id="33" w:name="_Toc24884218"/>
      <w:bookmarkStart w:id="34" w:name="_Toc97191423"/>
      <w:bookmarkStart w:id="35" w:name="_Toc26648465"/>
      <w:bookmarkStart w:id="36" w:name="_Toc17233325"/>
      <w:r>
        <w:rPr>
          <w:rFonts w:hint="eastAsia"/>
        </w:rPr>
        <w:t>范围</w:t>
      </w:r>
      <w:bookmarkEnd w:id="28"/>
      <w:bookmarkEnd w:id="29"/>
      <w:bookmarkEnd w:id="30"/>
      <w:bookmarkEnd w:id="31"/>
      <w:bookmarkEnd w:id="32"/>
      <w:bookmarkEnd w:id="33"/>
      <w:bookmarkEnd w:id="34"/>
      <w:bookmarkEnd w:id="35"/>
      <w:bookmarkEnd w:id="36"/>
    </w:p>
    <w:p>
      <w:pPr>
        <w:pStyle w:val="56"/>
        <w:ind w:firstLine="420"/>
      </w:pPr>
      <w:bookmarkStart w:id="37" w:name="_Toc17233334"/>
      <w:bookmarkStart w:id="38" w:name="_Toc24884219"/>
      <w:bookmarkStart w:id="39" w:name="_Toc24884212"/>
      <w:bookmarkStart w:id="40" w:name="_Toc26648466"/>
      <w:bookmarkStart w:id="41" w:name="_Toc17233326"/>
      <w:r>
        <w:t>本</w:t>
      </w:r>
      <w:r>
        <w:rPr>
          <w:rFonts w:hint="eastAsia"/>
        </w:rPr>
        <w:t>文件</w:t>
      </w:r>
      <w:r>
        <w:t xml:space="preserve">规定了天目湖白茶的术语和定义、鲜叶原料要求及分级、产品要求、试验方法、检验规则、 </w:t>
      </w:r>
      <w:r>
        <w:rPr>
          <w:spacing w:val="-12"/>
        </w:rPr>
        <w:t>标</w:t>
      </w:r>
      <w:r>
        <w:rPr>
          <w:spacing w:val="-9"/>
        </w:rPr>
        <w:t>志</w:t>
      </w:r>
      <w:r>
        <w:rPr>
          <w:spacing w:val="-6"/>
        </w:rPr>
        <w:t>、包装、运输、贮存。</w:t>
      </w:r>
    </w:p>
    <w:p>
      <w:pPr>
        <w:pStyle w:val="56"/>
        <w:ind w:firstLine="420"/>
      </w:pPr>
      <w:r>
        <w:t>本</w:t>
      </w:r>
      <w:r>
        <w:rPr>
          <w:rFonts w:hint="eastAsia"/>
        </w:rPr>
        <w:t>文件</w:t>
      </w:r>
      <w:r>
        <w:t>适用于天目湖白茶质量分级。</w:t>
      </w:r>
    </w:p>
    <w:p>
      <w:pPr>
        <w:pStyle w:val="104"/>
        <w:spacing w:before="312" w:after="312"/>
      </w:pPr>
      <w:bookmarkStart w:id="42" w:name="_Toc26986531"/>
      <w:bookmarkStart w:id="43" w:name="_Toc26718931"/>
      <w:bookmarkStart w:id="44" w:name="_Toc97191424"/>
      <w:bookmarkStart w:id="45" w:name="_Toc26986772"/>
      <w:r>
        <w:rPr>
          <w:rFonts w:hint="eastAsia"/>
        </w:rPr>
        <w:t>规范性引用文件</w:t>
      </w:r>
      <w:bookmarkEnd w:id="37"/>
      <w:bookmarkEnd w:id="38"/>
      <w:bookmarkEnd w:id="39"/>
      <w:bookmarkEnd w:id="40"/>
      <w:bookmarkEnd w:id="41"/>
      <w:bookmarkEnd w:id="42"/>
      <w:bookmarkEnd w:id="43"/>
      <w:bookmarkEnd w:id="44"/>
      <w:bookmarkEnd w:id="45"/>
    </w:p>
    <w:sdt>
      <w:sdtPr>
        <w:rPr>
          <w:rFonts w:hint="eastAsia"/>
        </w:rPr>
        <w:id w:val="715848253"/>
        <w:placeholder>
          <w:docPart w:val="B6E01D11ACCD48F4B272F5228D639BE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t>GB</w:t>
      </w:r>
      <w:r>
        <w:rPr>
          <w:spacing w:val="-1"/>
        </w:rPr>
        <w:t>/</w:t>
      </w:r>
      <w:r>
        <w:t>T</w:t>
      </w:r>
      <w:r>
        <w:rPr>
          <w:spacing w:val="-1"/>
        </w:rPr>
        <w:t xml:space="preserve"> 191</w:t>
      </w:r>
      <w:r>
        <w:t xml:space="preserve"> </w:t>
      </w:r>
      <w:r>
        <w:rPr>
          <w:rFonts w:hint="eastAsia"/>
        </w:rPr>
        <w:t xml:space="preserve"> </w:t>
      </w:r>
      <w:r>
        <w:t>包装储运图示标志</w:t>
      </w:r>
    </w:p>
    <w:p>
      <w:pPr>
        <w:pStyle w:val="56"/>
        <w:ind w:firstLine="420"/>
        <w:rPr>
          <w:position w:val="7"/>
        </w:rPr>
      </w:pPr>
      <w:r>
        <w:rPr>
          <w:position w:val="7"/>
        </w:rPr>
        <w:t>GB 2762</w:t>
      </w:r>
      <w:r>
        <w:rPr>
          <w:rFonts w:hint="eastAsia"/>
          <w:position w:val="7"/>
        </w:rPr>
        <w:t xml:space="preserve">  </w:t>
      </w:r>
      <w:r>
        <w:rPr>
          <w:position w:val="7"/>
        </w:rPr>
        <w:t>食品安全国家标准</w:t>
      </w:r>
      <w:r>
        <w:rPr>
          <w:rFonts w:hint="eastAsia"/>
          <w:position w:val="7"/>
        </w:rPr>
        <w:t xml:space="preserve"> 食品中污染物限量</w:t>
      </w:r>
    </w:p>
    <w:p>
      <w:pPr>
        <w:pStyle w:val="56"/>
        <w:ind w:firstLine="420"/>
        <w:rPr>
          <w:position w:val="7"/>
        </w:rPr>
      </w:pPr>
      <w:r>
        <w:rPr>
          <w:position w:val="7"/>
        </w:rPr>
        <w:t>GB 2763</w:t>
      </w:r>
      <w:r>
        <w:rPr>
          <w:rFonts w:hint="eastAsia"/>
          <w:position w:val="7"/>
        </w:rPr>
        <w:t xml:space="preserve">  </w:t>
      </w:r>
      <w:r>
        <w:rPr>
          <w:position w:val="7"/>
        </w:rPr>
        <w:t>食品安全国家标准</w:t>
      </w:r>
      <w:r>
        <w:rPr>
          <w:rFonts w:hint="eastAsia"/>
          <w:position w:val="7"/>
        </w:rPr>
        <w:t xml:space="preserve"> 食品中农药最大残留限量</w:t>
      </w:r>
    </w:p>
    <w:p>
      <w:pPr>
        <w:pStyle w:val="56"/>
        <w:ind w:firstLine="420"/>
        <w:rPr>
          <w:color w:val="FF0000"/>
        </w:rPr>
      </w:pPr>
      <w:r>
        <w:t>GB</w:t>
      </w:r>
      <w:r>
        <w:rPr>
          <w:rFonts w:hint="eastAsia"/>
        </w:rPr>
        <w:t xml:space="preserve"> 5009.3  食品安全国家标准 食品中水分的测定</w:t>
      </w:r>
    </w:p>
    <w:p>
      <w:pPr>
        <w:pStyle w:val="56"/>
        <w:ind w:firstLine="420"/>
        <w:rPr>
          <w:position w:val="7"/>
        </w:rPr>
      </w:pPr>
      <w:r>
        <w:t>GB</w:t>
      </w:r>
      <w:r>
        <w:rPr>
          <w:rFonts w:hint="eastAsia"/>
        </w:rPr>
        <w:t xml:space="preserve"> 5009.4  食品安全国家标准 食品中灰分的测定</w:t>
      </w:r>
    </w:p>
    <w:p>
      <w:pPr>
        <w:pStyle w:val="56"/>
        <w:ind w:firstLine="420"/>
        <w:rPr>
          <w:position w:val="7"/>
        </w:rPr>
      </w:pPr>
      <w:r>
        <w:rPr>
          <w:position w:val="7"/>
        </w:rPr>
        <w:t>GB</w:t>
      </w:r>
      <w:r>
        <w:rPr>
          <w:spacing w:val="-1"/>
          <w:position w:val="7"/>
        </w:rPr>
        <w:t xml:space="preserve"> 7</w:t>
      </w:r>
      <w:r>
        <w:rPr>
          <w:position w:val="7"/>
        </w:rPr>
        <w:t xml:space="preserve">718 </w:t>
      </w:r>
      <w:r>
        <w:rPr>
          <w:rFonts w:hint="eastAsia"/>
          <w:position w:val="7"/>
        </w:rPr>
        <w:t xml:space="preserve"> </w:t>
      </w:r>
      <w:r>
        <w:rPr>
          <w:position w:val="7"/>
        </w:rPr>
        <w:t>食品安全国家标准 预包装食品标签通则</w:t>
      </w:r>
    </w:p>
    <w:p>
      <w:pPr>
        <w:pStyle w:val="56"/>
        <w:ind w:firstLine="420"/>
      </w:pPr>
      <w:r>
        <w:t>GB</w:t>
      </w:r>
      <w:r>
        <w:rPr>
          <w:spacing w:val="1"/>
        </w:rPr>
        <w:t>/</w:t>
      </w:r>
      <w:r>
        <w:t xml:space="preserve">T 8302 </w:t>
      </w:r>
      <w:r>
        <w:rPr>
          <w:rFonts w:hint="eastAsia"/>
        </w:rPr>
        <w:t xml:space="preserve"> </w:t>
      </w:r>
      <w:r>
        <w:t>茶 取样</w:t>
      </w:r>
    </w:p>
    <w:p>
      <w:pPr>
        <w:pStyle w:val="56"/>
        <w:ind w:firstLine="420"/>
      </w:pPr>
      <w:r>
        <w:rPr>
          <w:position w:val="7"/>
        </w:rPr>
        <w:t>GB</w:t>
      </w:r>
      <w:r>
        <w:rPr>
          <w:spacing w:val="-1"/>
          <w:position w:val="7"/>
        </w:rPr>
        <w:t>/</w:t>
      </w:r>
      <w:r>
        <w:rPr>
          <w:position w:val="7"/>
        </w:rPr>
        <w:t>T</w:t>
      </w:r>
      <w:r>
        <w:rPr>
          <w:spacing w:val="-1"/>
          <w:position w:val="7"/>
        </w:rPr>
        <w:t xml:space="preserve"> 8</w:t>
      </w:r>
      <w:r>
        <w:rPr>
          <w:position w:val="7"/>
        </w:rPr>
        <w:t xml:space="preserve">303 </w:t>
      </w:r>
      <w:r>
        <w:rPr>
          <w:rFonts w:hint="eastAsia"/>
          <w:position w:val="7"/>
        </w:rPr>
        <w:t xml:space="preserve"> </w:t>
      </w:r>
      <w:r>
        <w:rPr>
          <w:position w:val="7"/>
        </w:rPr>
        <w:t>茶 磨碎试样的制备及其干物质含量测定</w:t>
      </w:r>
    </w:p>
    <w:p>
      <w:pPr>
        <w:pStyle w:val="56"/>
        <w:ind w:firstLine="420"/>
      </w:pPr>
      <w:r>
        <w:rPr>
          <w:position w:val="7"/>
        </w:rPr>
        <w:t>GB</w:t>
      </w:r>
      <w:r>
        <w:rPr>
          <w:spacing w:val="-1"/>
          <w:position w:val="7"/>
        </w:rPr>
        <w:t>/</w:t>
      </w:r>
      <w:r>
        <w:rPr>
          <w:position w:val="7"/>
        </w:rPr>
        <w:t>T</w:t>
      </w:r>
      <w:r>
        <w:rPr>
          <w:spacing w:val="-1"/>
          <w:position w:val="7"/>
        </w:rPr>
        <w:t xml:space="preserve"> 830</w:t>
      </w:r>
      <w:r>
        <w:rPr>
          <w:position w:val="7"/>
        </w:rPr>
        <w:t xml:space="preserve">5 </w:t>
      </w:r>
      <w:r>
        <w:rPr>
          <w:rFonts w:hint="eastAsia"/>
          <w:position w:val="7"/>
        </w:rPr>
        <w:t xml:space="preserve"> </w:t>
      </w:r>
      <w:r>
        <w:rPr>
          <w:position w:val="7"/>
        </w:rPr>
        <w:t>茶 水浸出物测定</w:t>
      </w:r>
    </w:p>
    <w:p>
      <w:pPr>
        <w:pStyle w:val="56"/>
        <w:ind w:firstLine="420"/>
      </w:pPr>
      <w:r>
        <w:rPr>
          <w:position w:val="5"/>
        </w:rPr>
        <w:t>GB</w:t>
      </w:r>
      <w:r>
        <w:rPr>
          <w:spacing w:val="-1"/>
          <w:position w:val="5"/>
        </w:rPr>
        <w:t>/</w:t>
      </w:r>
      <w:r>
        <w:rPr>
          <w:position w:val="5"/>
        </w:rPr>
        <w:t>T</w:t>
      </w:r>
      <w:r>
        <w:rPr>
          <w:spacing w:val="-1"/>
          <w:position w:val="5"/>
        </w:rPr>
        <w:t xml:space="preserve"> 83</w:t>
      </w:r>
      <w:r>
        <w:rPr>
          <w:position w:val="5"/>
        </w:rPr>
        <w:t xml:space="preserve">11 </w:t>
      </w:r>
      <w:r>
        <w:rPr>
          <w:rFonts w:hint="eastAsia"/>
          <w:position w:val="5"/>
        </w:rPr>
        <w:t xml:space="preserve"> </w:t>
      </w:r>
      <w:r>
        <w:rPr>
          <w:position w:val="5"/>
        </w:rPr>
        <w:t>茶 粉末和碎茶含量测定</w:t>
      </w:r>
    </w:p>
    <w:p>
      <w:pPr>
        <w:pStyle w:val="56"/>
        <w:ind w:firstLine="420"/>
      </w:pPr>
      <w:r>
        <w:t>GB</w:t>
      </w:r>
      <w:r>
        <w:rPr>
          <w:spacing w:val="-1"/>
        </w:rPr>
        <w:t>/</w:t>
      </w:r>
      <w:r>
        <w:t>T</w:t>
      </w:r>
      <w:r>
        <w:rPr>
          <w:spacing w:val="-1"/>
        </w:rPr>
        <w:t xml:space="preserve"> 144</w:t>
      </w:r>
      <w:r>
        <w:t xml:space="preserve">56.1 </w:t>
      </w:r>
      <w:r>
        <w:rPr>
          <w:rFonts w:hint="eastAsia"/>
        </w:rPr>
        <w:t xml:space="preserve"> </w:t>
      </w:r>
      <w:r>
        <w:t>绿茶 第1部分 基本要求</w:t>
      </w:r>
    </w:p>
    <w:p>
      <w:pPr>
        <w:pStyle w:val="56"/>
        <w:ind w:firstLine="420"/>
        <w:rPr>
          <w:position w:val="5"/>
        </w:rPr>
      </w:pPr>
      <w:r>
        <w:rPr>
          <w:position w:val="5"/>
        </w:rPr>
        <w:t xml:space="preserve">GB/T 14487 </w:t>
      </w:r>
      <w:r>
        <w:rPr>
          <w:rFonts w:hint="eastAsia"/>
          <w:position w:val="5"/>
        </w:rPr>
        <w:t xml:space="preserve"> </w:t>
      </w:r>
      <w:r>
        <w:rPr>
          <w:position w:val="5"/>
        </w:rPr>
        <w:t>茶叶感官审评术语</w:t>
      </w:r>
    </w:p>
    <w:p>
      <w:pPr>
        <w:pStyle w:val="56"/>
        <w:ind w:firstLine="420"/>
        <w:rPr>
          <w:position w:val="5"/>
        </w:rPr>
      </w:pPr>
      <w:bookmarkStart w:id="46" w:name="OLE_LINK12"/>
      <w:bookmarkStart w:id="47" w:name="OLE_LINK13"/>
      <w:r>
        <w:t>GB 23350</w:t>
      </w:r>
      <w:bookmarkEnd w:id="46"/>
      <w:bookmarkEnd w:id="47"/>
      <w:r>
        <w:rPr>
          <w:rFonts w:hint="eastAsia"/>
        </w:rPr>
        <w:t xml:space="preserve">  限制商品过度包装要求 食品和化妆品</w:t>
      </w:r>
    </w:p>
    <w:p>
      <w:pPr>
        <w:pStyle w:val="56"/>
        <w:ind w:firstLine="420"/>
        <w:rPr>
          <w:position w:val="5"/>
        </w:rPr>
      </w:pPr>
      <w:r>
        <w:rPr>
          <w:position w:val="5"/>
        </w:rPr>
        <w:t xml:space="preserve">GB/T 23776 </w:t>
      </w:r>
      <w:r>
        <w:rPr>
          <w:rFonts w:hint="eastAsia"/>
          <w:position w:val="5"/>
        </w:rPr>
        <w:t xml:space="preserve"> </w:t>
      </w:r>
      <w:r>
        <w:rPr>
          <w:position w:val="5"/>
        </w:rPr>
        <w:t>茶叶感官审评方法</w:t>
      </w:r>
    </w:p>
    <w:p>
      <w:pPr>
        <w:pStyle w:val="56"/>
        <w:ind w:firstLine="420"/>
        <w:rPr>
          <w:position w:val="5"/>
        </w:rPr>
      </w:pPr>
      <w:r>
        <w:rPr>
          <w:position w:val="5"/>
        </w:rPr>
        <w:t xml:space="preserve">GH/T 1070 </w:t>
      </w:r>
      <w:r>
        <w:rPr>
          <w:rFonts w:hint="eastAsia"/>
          <w:position w:val="5"/>
        </w:rPr>
        <w:t xml:space="preserve"> </w:t>
      </w:r>
      <w:r>
        <w:rPr>
          <w:position w:val="5"/>
        </w:rPr>
        <w:t>茶叶包装通则</w:t>
      </w:r>
    </w:p>
    <w:p>
      <w:pPr>
        <w:pStyle w:val="56"/>
        <w:ind w:firstLine="420"/>
        <w:rPr>
          <w:position w:val="5"/>
        </w:rPr>
      </w:pPr>
      <w:r>
        <w:rPr>
          <w:rFonts w:hint="eastAsia"/>
          <w:position w:val="5"/>
        </w:rPr>
        <w:t>JJF 1070</w:t>
      </w:r>
      <w:r>
        <w:rPr>
          <w:rFonts w:hint="default"/>
          <w:position w:val="5"/>
        </w:rPr>
        <w:t xml:space="preserve">  </w:t>
      </w:r>
      <w:bookmarkStart w:id="68" w:name="_GoBack"/>
      <w:bookmarkEnd w:id="68"/>
      <w:r>
        <w:rPr>
          <w:rFonts w:hint="eastAsia"/>
          <w:position w:val="5"/>
        </w:rPr>
        <w:t xml:space="preserve"> 定量包装商品净含量计量检验规则</w:t>
      </w:r>
    </w:p>
    <w:p>
      <w:pPr>
        <w:pStyle w:val="104"/>
        <w:spacing w:before="312" w:after="312"/>
      </w:pPr>
      <w:bookmarkStart w:id="48" w:name="_Toc97191425"/>
      <w:r>
        <w:rPr>
          <w:rFonts w:hint="eastAsia"/>
          <w:szCs w:val="21"/>
        </w:rPr>
        <w:t>术语和定义</w:t>
      </w:r>
      <w:bookmarkEnd w:id="48"/>
    </w:p>
    <w:sdt>
      <w:sdtPr>
        <w:id w:val="-1909835108"/>
        <w:placeholder>
          <w:docPart w:val="5EA4EE4B415843FF847F69A8DFC0791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9" w:name="_Toc26986532"/>
          <w:bookmarkEnd w:id="49"/>
          <w:r>
            <w:t>下列术语和定义适用于本文件。</w:t>
          </w:r>
        </w:p>
      </w:sdtContent>
    </w:sdt>
    <w:p>
      <w:pPr>
        <w:pStyle w:val="223"/>
        <w:ind w:left="420" w:hanging="420" w:hangingChars="200"/>
        <w:rPr>
          <w:rFonts w:ascii="黑体" w:hAnsi="黑体" w:eastAsia="黑体"/>
          <w:highlight w:val="none"/>
        </w:rPr>
      </w:pPr>
      <w:r>
        <w:rPr>
          <w:rFonts w:ascii="黑体" w:hAnsi="黑体" w:eastAsia="黑体"/>
          <w:highlight w:val="none"/>
        </w:rPr>
        <w:br w:type="textWrapping"/>
      </w:r>
      <w:r>
        <w:rPr>
          <w:rFonts w:ascii="黑体" w:hAnsi="黑体" w:eastAsia="黑体"/>
          <w:highlight w:val="none"/>
        </w:rPr>
        <w:t>天目湖白茶</w:t>
      </w:r>
      <w:r>
        <w:rPr>
          <w:rFonts w:hint="eastAsia" w:ascii="黑体" w:hAnsi="黑体" w:eastAsia="黑体"/>
          <w:highlight w:val="none"/>
        </w:rPr>
        <w:t xml:space="preserve">  </w:t>
      </w:r>
      <w:r>
        <w:rPr>
          <w:rFonts w:ascii="黑体" w:hAnsi="黑体" w:eastAsia="黑体"/>
          <w:highlight w:val="none"/>
        </w:rPr>
        <w:t>Tianmuhu bai</w:t>
      </w:r>
      <w:r>
        <w:rPr>
          <w:rFonts w:hint="eastAsia" w:ascii="黑体" w:hAnsi="黑体" w:eastAsia="黑体"/>
          <w:highlight w:val="none"/>
        </w:rPr>
        <w:t>cha</w:t>
      </w:r>
    </w:p>
    <w:p>
      <w:pPr>
        <w:pStyle w:val="56"/>
        <w:ind w:firstLine="420"/>
        <w:rPr>
          <w:highlight w:val="none"/>
        </w:rPr>
      </w:pPr>
      <w:r>
        <w:rPr>
          <w:highlight w:val="none"/>
        </w:rPr>
        <w:t>以溧阳市范围内种植的</w:t>
      </w:r>
      <w:r>
        <w:rPr>
          <w:rFonts w:hint="eastAsia"/>
          <w:highlight w:val="none"/>
          <w:lang w:eastAsia="zh-Hans"/>
        </w:rPr>
        <w:t>‘</w:t>
      </w:r>
      <w:r>
        <w:rPr>
          <w:highlight w:val="none"/>
        </w:rPr>
        <w:t>白叶一号</w:t>
      </w:r>
      <w:r>
        <w:rPr>
          <w:rFonts w:hint="eastAsia"/>
          <w:highlight w:val="none"/>
          <w:lang w:eastAsia="zh-Hans"/>
        </w:rPr>
        <w:t>’</w:t>
      </w:r>
      <w:r>
        <w:rPr>
          <w:highlight w:val="none"/>
        </w:rPr>
        <w:t>或</w:t>
      </w:r>
      <w:r>
        <w:rPr>
          <w:rFonts w:hint="eastAsia"/>
          <w:highlight w:val="none"/>
          <w:lang w:eastAsia="zh-Hans"/>
        </w:rPr>
        <w:t>‘</w:t>
      </w:r>
      <w:r>
        <w:rPr>
          <w:rFonts w:hint="eastAsia"/>
          <w:highlight w:val="none"/>
        </w:rPr>
        <w:t>中白</w:t>
      </w:r>
      <w:r>
        <w:rPr>
          <w:rFonts w:hint="default"/>
          <w:highlight w:val="none"/>
        </w:rPr>
        <w:t>1</w:t>
      </w:r>
      <w:r>
        <w:rPr>
          <w:rFonts w:hint="eastAsia"/>
          <w:highlight w:val="none"/>
        </w:rPr>
        <w:t>号</w:t>
      </w:r>
      <w:r>
        <w:rPr>
          <w:rFonts w:hint="eastAsia"/>
          <w:highlight w:val="none"/>
          <w:lang w:eastAsia="zh-Hans"/>
        </w:rPr>
        <w:t>’</w:t>
      </w:r>
      <w:r>
        <w:rPr>
          <w:rFonts w:hint="eastAsia"/>
          <w:highlight w:val="none"/>
        </w:rPr>
        <w:t>等白化</w:t>
      </w:r>
      <w:r>
        <w:rPr>
          <w:highlight w:val="none"/>
        </w:rPr>
        <w:t>茶树芽叶为原料，</w:t>
      </w:r>
      <w:r>
        <w:rPr>
          <w:rFonts w:hint="eastAsia"/>
          <w:highlight w:val="none"/>
        </w:rPr>
        <w:t>经摊青、杀青、回潮、做形（理条或揉捻）、烘干等工艺制成的绿茶，分为扁形或卷曲形绿茶</w:t>
      </w:r>
      <w:r>
        <w:rPr>
          <w:highlight w:val="none"/>
        </w:rPr>
        <w:t>。</w:t>
      </w:r>
    </w:p>
    <w:p>
      <w:pPr>
        <w:pStyle w:val="104"/>
        <w:spacing w:before="312" w:after="312"/>
      </w:pPr>
      <w:r>
        <w:t>鲜叶</w:t>
      </w:r>
      <w:r>
        <w:rPr>
          <w:rFonts w:hAnsi="黑体" w:cs="黑体"/>
        </w:rPr>
        <w:t>原料分级及要求</w:t>
      </w:r>
    </w:p>
    <w:p>
      <w:pPr>
        <w:pStyle w:val="105"/>
        <w:spacing w:before="156" w:after="156"/>
      </w:pPr>
      <w:bookmarkStart w:id="50" w:name="OLE_LINK9"/>
      <w:bookmarkStart w:id="51" w:name="OLE_LINK10"/>
      <w:r>
        <w:rPr>
          <w:rFonts w:hint="eastAsia"/>
        </w:rPr>
        <w:t>特级</w:t>
      </w:r>
    </w:p>
    <w:p>
      <w:pPr>
        <w:pStyle w:val="56"/>
        <w:ind w:firstLine="420"/>
      </w:pPr>
      <w:r>
        <w:rPr>
          <w:rFonts w:hint="eastAsia"/>
        </w:rPr>
        <w:t>以</w:t>
      </w:r>
      <w:r>
        <w:t>一芽</w:t>
      </w:r>
      <w:r>
        <w:rPr>
          <w:rFonts w:hint="eastAsia"/>
        </w:rPr>
        <w:t>一</w:t>
      </w:r>
      <w:r>
        <w:t>叶初展</w:t>
      </w:r>
      <w:r>
        <w:rPr>
          <w:rFonts w:hint="eastAsia"/>
        </w:rPr>
        <w:t>为主</w:t>
      </w:r>
      <w:r>
        <w:t>，鲜叶完整，叶色转白。</w:t>
      </w:r>
    </w:p>
    <w:p>
      <w:pPr>
        <w:pStyle w:val="105"/>
        <w:spacing w:before="156" w:after="156"/>
      </w:pPr>
      <w:r>
        <w:rPr>
          <w:rFonts w:hint="eastAsia"/>
        </w:rPr>
        <w:t>一级</w:t>
      </w:r>
    </w:p>
    <w:p>
      <w:pPr>
        <w:pStyle w:val="56"/>
        <w:ind w:firstLine="420"/>
      </w:pPr>
      <w:r>
        <w:rPr>
          <w:rFonts w:hint="eastAsia"/>
        </w:rPr>
        <w:t>以</w:t>
      </w:r>
      <w:r>
        <w:t>一芽</w:t>
      </w:r>
      <w:r>
        <w:rPr>
          <w:rFonts w:hint="eastAsia"/>
        </w:rPr>
        <w:t>一</w:t>
      </w:r>
      <w:r>
        <w:t>叶</w:t>
      </w:r>
      <w:r>
        <w:rPr>
          <w:rFonts w:hint="eastAsia"/>
        </w:rPr>
        <w:t>～</w:t>
      </w:r>
      <w:r>
        <w:t>一芽二叶初展</w:t>
      </w:r>
      <w:r>
        <w:rPr>
          <w:rFonts w:hint="eastAsia"/>
        </w:rPr>
        <w:t>为主</w:t>
      </w:r>
      <w:r>
        <w:t>，</w:t>
      </w:r>
      <w:r>
        <w:rPr>
          <w:rFonts w:hint="eastAsia"/>
        </w:rPr>
        <w:t>鲜叶</w:t>
      </w:r>
      <w:r>
        <w:t>完整，叶色转白。</w:t>
      </w:r>
    </w:p>
    <w:p>
      <w:pPr>
        <w:pStyle w:val="105"/>
        <w:spacing w:before="156" w:after="156"/>
      </w:pPr>
      <w:r>
        <w:t>二级</w:t>
      </w:r>
    </w:p>
    <w:p>
      <w:pPr>
        <w:pStyle w:val="56"/>
        <w:ind w:firstLine="420"/>
      </w:pPr>
      <w:r>
        <w:rPr>
          <w:rFonts w:hint="eastAsia"/>
        </w:rPr>
        <w:t>以</w:t>
      </w:r>
      <w:r>
        <w:t>一芽二叶</w:t>
      </w:r>
      <w:r>
        <w:rPr>
          <w:rFonts w:hint="eastAsia"/>
        </w:rPr>
        <w:t>为主</w:t>
      </w:r>
      <w:r>
        <w:t>，鲜叶完整，叶色转白。</w:t>
      </w:r>
    </w:p>
    <w:bookmarkEnd w:id="50"/>
    <w:bookmarkEnd w:id="51"/>
    <w:p>
      <w:pPr>
        <w:pStyle w:val="104"/>
        <w:spacing w:before="312" w:after="312"/>
      </w:pPr>
      <w:r>
        <w:t>产品要求</w:t>
      </w:r>
    </w:p>
    <w:p>
      <w:pPr>
        <w:pStyle w:val="105"/>
        <w:spacing w:before="156" w:after="156"/>
      </w:pPr>
      <w:r>
        <w:t>基本要求</w:t>
      </w:r>
    </w:p>
    <w:p>
      <w:pPr>
        <w:pStyle w:val="56"/>
        <w:ind w:firstLine="420"/>
      </w:pPr>
      <w:bookmarkStart w:id="52" w:name="OLE_LINK14"/>
      <w:bookmarkStart w:id="53" w:name="OLE_LINK15"/>
      <w:r>
        <w:t>应符合GB/T 14456.1的相关要求</w:t>
      </w:r>
      <w:bookmarkEnd w:id="52"/>
      <w:bookmarkEnd w:id="53"/>
      <w:r>
        <w:t>。</w:t>
      </w:r>
    </w:p>
    <w:p>
      <w:pPr>
        <w:pStyle w:val="105"/>
        <w:spacing w:before="156" w:after="156"/>
      </w:pPr>
      <w:r>
        <w:t>感官指标</w:t>
      </w:r>
    </w:p>
    <w:p>
      <w:pPr>
        <w:pStyle w:val="56"/>
        <w:ind w:firstLine="420"/>
      </w:pPr>
      <w:r>
        <w:t>感官指标要求</w:t>
      </w:r>
      <w:r>
        <w:rPr>
          <w:rFonts w:hint="eastAsia"/>
        </w:rPr>
        <w:t>，扁形天目湖白茶</w:t>
      </w:r>
      <w:r>
        <w:t>应符合表1的规定</w:t>
      </w:r>
      <w:r>
        <w:rPr>
          <w:rFonts w:hint="eastAsia"/>
        </w:rPr>
        <w:t>，卷曲形天目湖白茶</w:t>
      </w:r>
      <w:r>
        <w:t>应符合表</w:t>
      </w:r>
      <w:r>
        <w:rPr>
          <w:rFonts w:hint="eastAsia"/>
        </w:rPr>
        <w:t>2</w:t>
      </w:r>
      <w:r>
        <w:t>的规定。</w:t>
      </w:r>
    </w:p>
    <w:p>
      <w:pPr>
        <w:pStyle w:val="112"/>
        <w:spacing w:before="156" w:after="156"/>
      </w:pPr>
      <w:r>
        <w:rPr>
          <w:rFonts w:hint="eastAsia"/>
        </w:rPr>
        <w:t>扁形天目湖白茶</w:t>
      </w:r>
      <w:r>
        <w:t>感官要求</w:t>
      </w:r>
    </w:p>
    <w:tbl>
      <w:tblPr>
        <w:tblStyle w:val="230"/>
        <w:tblW w:w="9599" w:type="dxa"/>
        <w:tblInd w:w="-28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60"/>
        <w:gridCol w:w="1084"/>
        <w:gridCol w:w="1328"/>
        <w:gridCol w:w="799"/>
        <w:gridCol w:w="765"/>
        <w:gridCol w:w="993"/>
        <w:gridCol w:w="1115"/>
        <w:gridCol w:w="1031"/>
        <w:gridCol w:w="172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23" w:hRule="atLeast"/>
        </w:trPr>
        <w:tc>
          <w:tcPr>
            <w:tcW w:w="760" w:type="dxa"/>
            <w:vMerge w:val="restart"/>
            <w:tcBorders>
              <w:bottom w:val="nil"/>
            </w:tcBorders>
          </w:tcPr>
          <w:p>
            <w:pPr>
              <w:spacing w:before="231" w:line="221" w:lineRule="auto"/>
              <w:ind w:left="206"/>
              <w:rPr>
                <w:rFonts w:ascii="宋体" w:hAnsi="宋体" w:cs="宋体" w:eastAsiaTheme="minorEastAsia"/>
                <w:sz w:val="18"/>
                <w:szCs w:val="18"/>
              </w:rPr>
            </w:pPr>
            <w:bookmarkStart w:id="54" w:name="OLE_LINK11"/>
            <w:r>
              <w:rPr>
                <w:rFonts w:ascii="宋体" w:hAnsi="宋体" w:cs="宋体" w:eastAsiaTheme="minorEastAsia"/>
                <w:spacing w:val="-3"/>
                <w:sz w:val="18"/>
                <w:szCs w:val="18"/>
              </w:rPr>
              <w:t>级</w:t>
            </w:r>
            <w:r>
              <w:rPr>
                <w:rFonts w:ascii="宋体" w:hAnsi="宋体" w:cs="宋体" w:eastAsiaTheme="minorEastAsia"/>
                <w:spacing w:val="-2"/>
                <w:sz w:val="18"/>
                <w:szCs w:val="18"/>
              </w:rPr>
              <w:t>别</w:t>
            </w:r>
          </w:p>
        </w:tc>
        <w:tc>
          <w:tcPr>
            <w:tcW w:w="3976" w:type="dxa"/>
            <w:gridSpan w:val="4"/>
          </w:tcPr>
          <w:p>
            <w:pPr>
              <w:spacing w:before="70" w:line="221" w:lineRule="auto"/>
              <w:ind w:left="1506"/>
              <w:rPr>
                <w:rFonts w:ascii="宋体" w:hAnsi="宋体" w:cs="宋体" w:eastAsiaTheme="minorEastAsia"/>
                <w:sz w:val="18"/>
                <w:szCs w:val="18"/>
              </w:rPr>
            </w:pPr>
            <w:r>
              <w:rPr>
                <w:rFonts w:ascii="宋体" w:hAnsi="宋体" w:cs="宋体" w:eastAsiaTheme="minorEastAsia"/>
                <w:spacing w:val="1"/>
                <w:sz w:val="18"/>
                <w:szCs w:val="18"/>
              </w:rPr>
              <w:t>外</w:t>
            </w:r>
            <w:r>
              <w:rPr>
                <w:rFonts w:ascii="宋体" w:hAnsi="宋体" w:cs="宋体" w:eastAsiaTheme="minorEastAsia"/>
                <w:sz w:val="18"/>
                <w:szCs w:val="18"/>
              </w:rPr>
              <w:t xml:space="preserve">    形</w:t>
            </w:r>
          </w:p>
        </w:tc>
        <w:tc>
          <w:tcPr>
            <w:tcW w:w="4863" w:type="dxa"/>
            <w:gridSpan w:val="4"/>
          </w:tcPr>
          <w:p>
            <w:pPr>
              <w:spacing w:before="71" w:line="220" w:lineRule="auto"/>
              <w:ind w:left="2003"/>
              <w:rPr>
                <w:rFonts w:ascii="宋体" w:hAnsi="宋体" w:cs="宋体" w:eastAsiaTheme="minorEastAsia"/>
                <w:sz w:val="18"/>
                <w:szCs w:val="18"/>
              </w:rPr>
            </w:pPr>
            <w:r>
              <w:rPr>
                <w:rFonts w:ascii="宋体" w:hAnsi="宋体" w:cs="宋体" w:eastAsiaTheme="minorEastAsia"/>
                <w:spacing w:val="-4"/>
                <w:sz w:val="18"/>
                <w:szCs w:val="18"/>
              </w:rPr>
              <w:t>内</w:t>
            </w:r>
            <w:r>
              <w:rPr>
                <w:rFonts w:ascii="宋体" w:hAnsi="宋体" w:cs="宋体" w:eastAsiaTheme="minorEastAsia"/>
                <w:spacing w:val="-3"/>
                <w:sz w:val="18"/>
                <w:szCs w:val="18"/>
              </w:rPr>
              <w:t xml:space="preserve"> </w:t>
            </w:r>
            <w:r>
              <w:rPr>
                <w:rFonts w:ascii="宋体" w:hAnsi="宋体" w:cs="宋体" w:eastAsiaTheme="minorEastAsia"/>
                <w:spacing w:val="-2"/>
                <w:sz w:val="18"/>
                <w:szCs w:val="18"/>
              </w:rPr>
              <w:t xml:space="preserve">     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16" w:hRule="atLeast"/>
        </w:trPr>
        <w:tc>
          <w:tcPr>
            <w:tcW w:w="760" w:type="dxa"/>
            <w:vMerge w:val="continue"/>
            <w:tcBorders>
              <w:top w:val="nil"/>
            </w:tcBorders>
          </w:tcPr>
          <w:p>
            <w:pPr>
              <w:rPr>
                <w:rFonts w:ascii="Arial" w:hAnsi="Arial" w:cs="Arial" w:eastAsiaTheme="minorEastAsia"/>
              </w:rPr>
            </w:pPr>
          </w:p>
        </w:tc>
        <w:tc>
          <w:tcPr>
            <w:tcW w:w="1084" w:type="dxa"/>
          </w:tcPr>
          <w:p>
            <w:pPr>
              <w:spacing w:before="64" w:line="220" w:lineRule="auto"/>
              <w:jc w:val="center"/>
              <w:rPr>
                <w:rFonts w:ascii="宋体" w:hAnsi="宋体" w:cs="宋体" w:eastAsiaTheme="minorEastAsia"/>
                <w:sz w:val="18"/>
                <w:szCs w:val="18"/>
              </w:rPr>
            </w:pPr>
            <w:r>
              <w:rPr>
                <w:rFonts w:ascii="宋体" w:hAnsi="宋体" w:cs="宋体" w:eastAsiaTheme="minorEastAsia"/>
                <w:spacing w:val="-3"/>
                <w:sz w:val="18"/>
                <w:szCs w:val="18"/>
              </w:rPr>
              <w:t>条</w:t>
            </w:r>
            <w:r>
              <w:rPr>
                <w:rFonts w:ascii="宋体" w:hAnsi="宋体" w:cs="宋体" w:eastAsiaTheme="minorEastAsia"/>
                <w:spacing w:val="-2"/>
                <w:sz w:val="18"/>
                <w:szCs w:val="18"/>
              </w:rPr>
              <w:t>索</w:t>
            </w:r>
          </w:p>
        </w:tc>
        <w:tc>
          <w:tcPr>
            <w:tcW w:w="1328" w:type="dxa"/>
          </w:tcPr>
          <w:p>
            <w:pPr>
              <w:spacing w:before="64" w:line="221" w:lineRule="auto"/>
              <w:ind w:left="53"/>
              <w:jc w:val="center"/>
              <w:rPr>
                <w:rFonts w:ascii="宋体" w:hAnsi="宋体" w:cs="宋体" w:eastAsiaTheme="minorEastAsia"/>
                <w:sz w:val="18"/>
                <w:szCs w:val="18"/>
              </w:rPr>
            </w:pPr>
            <w:r>
              <w:rPr>
                <w:rFonts w:ascii="宋体" w:hAnsi="宋体" w:cs="宋体" w:eastAsiaTheme="minorEastAsia"/>
                <w:spacing w:val="-3"/>
                <w:sz w:val="18"/>
                <w:szCs w:val="18"/>
              </w:rPr>
              <w:t>色</w:t>
            </w:r>
            <w:r>
              <w:rPr>
                <w:rFonts w:ascii="宋体" w:hAnsi="宋体" w:cs="宋体" w:eastAsiaTheme="minorEastAsia"/>
                <w:spacing w:val="-2"/>
                <w:sz w:val="18"/>
                <w:szCs w:val="18"/>
              </w:rPr>
              <w:t>泽</w:t>
            </w:r>
          </w:p>
        </w:tc>
        <w:tc>
          <w:tcPr>
            <w:tcW w:w="799" w:type="dxa"/>
          </w:tcPr>
          <w:p>
            <w:pPr>
              <w:spacing w:before="64" w:line="221" w:lineRule="auto"/>
              <w:jc w:val="center"/>
              <w:rPr>
                <w:rFonts w:ascii="宋体" w:hAnsi="宋体" w:cs="宋体" w:eastAsiaTheme="minorEastAsia"/>
                <w:spacing w:val="-4"/>
                <w:sz w:val="18"/>
                <w:szCs w:val="18"/>
              </w:rPr>
            </w:pPr>
            <w:r>
              <w:rPr>
                <w:rFonts w:ascii="宋体" w:hAnsi="宋体" w:cs="宋体" w:eastAsiaTheme="minorEastAsia"/>
                <w:spacing w:val="-4"/>
                <w:sz w:val="18"/>
                <w:szCs w:val="18"/>
              </w:rPr>
              <w:t>整碎</w:t>
            </w:r>
          </w:p>
        </w:tc>
        <w:tc>
          <w:tcPr>
            <w:tcW w:w="765" w:type="dxa"/>
          </w:tcPr>
          <w:p>
            <w:pPr>
              <w:spacing w:before="64" w:line="221" w:lineRule="auto"/>
              <w:jc w:val="center"/>
              <w:rPr>
                <w:rFonts w:ascii="宋体" w:hAnsi="宋体" w:cs="宋体" w:eastAsiaTheme="minorEastAsia"/>
                <w:sz w:val="18"/>
                <w:szCs w:val="18"/>
              </w:rPr>
            </w:pPr>
            <w:r>
              <w:rPr>
                <w:rFonts w:ascii="宋体" w:hAnsi="宋体" w:cs="宋体" w:eastAsiaTheme="minorEastAsia"/>
                <w:spacing w:val="-4"/>
                <w:sz w:val="18"/>
                <w:szCs w:val="18"/>
              </w:rPr>
              <w:t>匀</w:t>
            </w:r>
            <w:r>
              <w:rPr>
                <w:rFonts w:ascii="宋体" w:hAnsi="宋体" w:cs="宋体" w:eastAsiaTheme="minorEastAsia"/>
                <w:spacing w:val="-2"/>
                <w:sz w:val="18"/>
                <w:szCs w:val="18"/>
              </w:rPr>
              <w:t>净度</w:t>
            </w:r>
          </w:p>
        </w:tc>
        <w:tc>
          <w:tcPr>
            <w:tcW w:w="993" w:type="dxa"/>
          </w:tcPr>
          <w:p>
            <w:pPr>
              <w:spacing w:before="64" w:line="222" w:lineRule="auto"/>
              <w:jc w:val="center"/>
              <w:rPr>
                <w:rFonts w:ascii="宋体" w:hAnsi="宋体" w:cs="宋体" w:eastAsiaTheme="minorEastAsia"/>
                <w:sz w:val="18"/>
                <w:szCs w:val="18"/>
              </w:rPr>
            </w:pPr>
            <w:r>
              <w:rPr>
                <w:rFonts w:ascii="宋体" w:hAnsi="宋体" w:cs="宋体" w:eastAsiaTheme="minorEastAsia"/>
                <w:spacing w:val="-3"/>
                <w:sz w:val="18"/>
                <w:szCs w:val="18"/>
              </w:rPr>
              <w:t>香</w:t>
            </w:r>
            <w:r>
              <w:rPr>
                <w:rFonts w:ascii="宋体" w:hAnsi="宋体" w:cs="宋体" w:eastAsiaTheme="minorEastAsia"/>
                <w:spacing w:val="-2"/>
                <w:sz w:val="18"/>
                <w:szCs w:val="18"/>
              </w:rPr>
              <w:t>气</w:t>
            </w:r>
          </w:p>
        </w:tc>
        <w:tc>
          <w:tcPr>
            <w:tcW w:w="1115" w:type="dxa"/>
          </w:tcPr>
          <w:p>
            <w:pPr>
              <w:spacing w:before="64" w:line="222" w:lineRule="auto"/>
              <w:ind w:left="384"/>
              <w:rPr>
                <w:rFonts w:ascii="宋体" w:hAnsi="宋体" w:cs="宋体" w:eastAsiaTheme="minorEastAsia"/>
                <w:sz w:val="18"/>
                <w:szCs w:val="18"/>
              </w:rPr>
            </w:pPr>
            <w:r>
              <w:rPr>
                <w:rFonts w:ascii="宋体" w:hAnsi="宋体" w:cs="宋体" w:eastAsiaTheme="minorEastAsia"/>
                <w:spacing w:val="-3"/>
                <w:sz w:val="18"/>
                <w:szCs w:val="18"/>
              </w:rPr>
              <w:t>汤</w:t>
            </w:r>
            <w:r>
              <w:rPr>
                <w:rFonts w:ascii="宋体" w:hAnsi="宋体" w:cs="宋体" w:eastAsiaTheme="minorEastAsia"/>
                <w:spacing w:val="-2"/>
                <w:sz w:val="18"/>
                <w:szCs w:val="18"/>
              </w:rPr>
              <w:t>色</w:t>
            </w:r>
          </w:p>
        </w:tc>
        <w:tc>
          <w:tcPr>
            <w:tcW w:w="1031" w:type="dxa"/>
          </w:tcPr>
          <w:p>
            <w:pPr>
              <w:spacing w:before="64" w:line="221" w:lineRule="auto"/>
              <w:ind w:left="343"/>
              <w:rPr>
                <w:rFonts w:ascii="宋体" w:hAnsi="宋体" w:cs="宋体" w:eastAsiaTheme="minorEastAsia"/>
                <w:sz w:val="18"/>
                <w:szCs w:val="18"/>
              </w:rPr>
            </w:pPr>
            <w:r>
              <w:rPr>
                <w:rFonts w:ascii="宋体" w:hAnsi="宋体" w:cs="宋体" w:eastAsiaTheme="minorEastAsia"/>
                <w:spacing w:val="-3"/>
                <w:sz w:val="18"/>
                <w:szCs w:val="18"/>
              </w:rPr>
              <w:t>滋</w:t>
            </w:r>
            <w:r>
              <w:rPr>
                <w:rFonts w:ascii="宋体" w:hAnsi="宋体" w:cs="宋体" w:eastAsiaTheme="minorEastAsia"/>
                <w:spacing w:val="-2"/>
                <w:sz w:val="18"/>
                <w:szCs w:val="18"/>
              </w:rPr>
              <w:t>味</w:t>
            </w:r>
          </w:p>
        </w:tc>
        <w:tc>
          <w:tcPr>
            <w:tcW w:w="1724" w:type="dxa"/>
          </w:tcPr>
          <w:p>
            <w:pPr>
              <w:spacing w:before="64" w:line="220" w:lineRule="auto"/>
              <w:ind w:left="635"/>
              <w:rPr>
                <w:rFonts w:ascii="宋体" w:hAnsi="宋体" w:cs="宋体" w:eastAsiaTheme="minorEastAsia"/>
                <w:sz w:val="18"/>
                <w:szCs w:val="18"/>
              </w:rPr>
            </w:pPr>
            <w:r>
              <w:rPr>
                <w:rFonts w:ascii="宋体" w:hAnsi="宋体" w:cs="宋体" w:eastAsiaTheme="minorEastAsia"/>
                <w:spacing w:val="-6"/>
                <w:sz w:val="18"/>
                <w:szCs w:val="18"/>
              </w:rPr>
              <w:t>叶</w:t>
            </w:r>
            <w:r>
              <w:rPr>
                <w:rFonts w:ascii="宋体" w:hAnsi="宋体" w:cs="宋体" w:eastAsiaTheme="minorEastAsia"/>
                <w:spacing w:val="-4"/>
                <w:sz w:val="18"/>
                <w:szCs w:val="18"/>
              </w:rPr>
              <w:t>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4" w:hRule="atLeast"/>
        </w:trPr>
        <w:tc>
          <w:tcPr>
            <w:tcW w:w="760" w:type="dxa"/>
          </w:tcPr>
          <w:p>
            <w:pPr>
              <w:spacing w:before="89" w:line="220" w:lineRule="auto"/>
              <w:ind w:left="203"/>
              <w:rPr>
                <w:rFonts w:ascii="宋体" w:hAnsi="宋体" w:cs="宋体" w:eastAsiaTheme="minorEastAsia"/>
                <w:sz w:val="18"/>
                <w:szCs w:val="18"/>
              </w:rPr>
            </w:pPr>
            <w:bookmarkStart w:id="55" w:name="_Hlk173161495"/>
            <w:r>
              <w:rPr>
                <w:rFonts w:ascii="宋体" w:hAnsi="宋体" w:cs="宋体" w:eastAsiaTheme="minorEastAsia"/>
                <w:spacing w:val="-2"/>
                <w:sz w:val="18"/>
                <w:szCs w:val="18"/>
              </w:rPr>
              <w:t>特级</w:t>
            </w:r>
          </w:p>
        </w:tc>
        <w:tc>
          <w:tcPr>
            <w:tcW w:w="1084" w:type="dxa"/>
          </w:tcPr>
          <w:p>
            <w:pPr>
              <w:spacing w:before="88" w:line="221" w:lineRule="auto"/>
              <w:jc w:val="center"/>
              <w:rPr>
                <w:rFonts w:ascii="宋体" w:hAnsi="宋体" w:cs="宋体" w:eastAsiaTheme="minorEastAsia"/>
                <w:spacing w:val="-4"/>
                <w:sz w:val="18"/>
                <w:szCs w:val="18"/>
              </w:rPr>
            </w:pPr>
            <w:r>
              <w:rPr>
                <w:rFonts w:hint="eastAsia" w:ascii="宋体" w:hAnsi="宋体" w:cs="宋体" w:eastAsiaTheme="minorEastAsia"/>
                <w:spacing w:val="-4"/>
                <w:sz w:val="18"/>
                <w:szCs w:val="18"/>
              </w:rPr>
              <w:t>挺秀</w:t>
            </w:r>
            <w:r>
              <w:rPr>
                <w:rFonts w:ascii="宋体" w:hAnsi="宋体" w:cs="宋体" w:eastAsiaTheme="minorEastAsia"/>
                <w:spacing w:val="-4"/>
                <w:sz w:val="18"/>
                <w:szCs w:val="18"/>
              </w:rPr>
              <w:t>微扁</w:t>
            </w:r>
          </w:p>
        </w:tc>
        <w:tc>
          <w:tcPr>
            <w:tcW w:w="1328" w:type="dxa"/>
          </w:tcPr>
          <w:p>
            <w:pPr>
              <w:spacing w:before="88" w:line="221" w:lineRule="auto"/>
              <w:ind w:left="-2" w:leftChars="-1" w:firstLine="1"/>
              <w:jc w:val="center"/>
              <w:rPr>
                <w:rFonts w:ascii="宋体" w:hAnsi="宋体" w:cs="宋体" w:eastAsiaTheme="minorEastAsia"/>
                <w:spacing w:val="-4"/>
                <w:sz w:val="18"/>
                <w:szCs w:val="18"/>
              </w:rPr>
            </w:pPr>
            <w:r>
              <w:rPr>
                <w:rFonts w:ascii="宋体" w:hAnsi="宋体" w:cs="宋体" w:eastAsiaTheme="minorEastAsia"/>
                <w:spacing w:val="-4"/>
                <w:sz w:val="18"/>
                <w:szCs w:val="18"/>
              </w:rPr>
              <w:t>玉绿、</w:t>
            </w:r>
            <w:r>
              <w:rPr>
                <w:rFonts w:hint="eastAsia" w:ascii="宋体" w:hAnsi="宋体" w:cs="宋体" w:eastAsiaTheme="minorEastAsia"/>
                <w:spacing w:val="-4"/>
                <w:sz w:val="18"/>
                <w:szCs w:val="18"/>
              </w:rPr>
              <w:t>显</w:t>
            </w:r>
            <w:r>
              <w:rPr>
                <w:rFonts w:ascii="宋体" w:hAnsi="宋体" w:cs="宋体" w:eastAsiaTheme="minorEastAsia"/>
                <w:spacing w:val="-4"/>
                <w:sz w:val="18"/>
                <w:szCs w:val="18"/>
              </w:rPr>
              <w:t>金</w:t>
            </w:r>
          </w:p>
        </w:tc>
        <w:tc>
          <w:tcPr>
            <w:tcW w:w="799" w:type="dxa"/>
            <w:vAlign w:val="center"/>
          </w:tcPr>
          <w:p>
            <w:pPr>
              <w:spacing w:before="88" w:line="221" w:lineRule="auto"/>
              <w:ind w:left="2" w:leftChars="1"/>
              <w:jc w:val="center"/>
              <w:rPr>
                <w:rFonts w:ascii="宋体" w:hAnsi="宋体" w:cs="宋体" w:eastAsiaTheme="minorEastAsia"/>
                <w:spacing w:val="-4"/>
                <w:sz w:val="18"/>
                <w:szCs w:val="18"/>
              </w:rPr>
            </w:pPr>
            <w:r>
              <w:rPr>
                <w:rFonts w:hint="eastAsia" w:ascii="宋体" w:hAnsi="宋体" w:cs="宋体" w:eastAsiaTheme="minorEastAsia"/>
                <w:spacing w:val="-4"/>
                <w:sz w:val="18"/>
                <w:szCs w:val="18"/>
              </w:rPr>
              <w:t>匀整</w:t>
            </w:r>
          </w:p>
        </w:tc>
        <w:tc>
          <w:tcPr>
            <w:tcW w:w="765" w:type="dxa"/>
          </w:tcPr>
          <w:p>
            <w:pPr>
              <w:spacing w:before="88" w:line="221" w:lineRule="auto"/>
              <w:jc w:val="center"/>
              <w:rPr>
                <w:rFonts w:ascii="宋体" w:hAnsi="宋体" w:cs="宋体" w:eastAsiaTheme="minorEastAsia"/>
                <w:spacing w:val="-4"/>
                <w:sz w:val="18"/>
                <w:szCs w:val="18"/>
              </w:rPr>
            </w:pPr>
            <w:r>
              <w:rPr>
                <w:rFonts w:ascii="宋体" w:hAnsi="宋体" w:cs="宋体" w:eastAsiaTheme="minorEastAsia"/>
                <w:spacing w:val="-4"/>
                <w:sz w:val="18"/>
                <w:szCs w:val="18"/>
              </w:rPr>
              <w:t>匀净</w:t>
            </w:r>
          </w:p>
        </w:tc>
        <w:tc>
          <w:tcPr>
            <w:tcW w:w="993" w:type="dxa"/>
          </w:tcPr>
          <w:p>
            <w:pPr>
              <w:spacing w:before="88" w:line="221" w:lineRule="auto"/>
              <w:jc w:val="center"/>
              <w:rPr>
                <w:rFonts w:ascii="宋体" w:hAnsi="宋体" w:cs="宋体" w:eastAsiaTheme="minorEastAsia"/>
                <w:spacing w:val="-4"/>
                <w:sz w:val="18"/>
                <w:szCs w:val="18"/>
              </w:rPr>
            </w:pPr>
            <w:r>
              <w:rPr>
                <w:rFonts w:hint="eastAsia" w:ascii="宋体" w:hAnsi="宋体" w:cs="宋体" w:eastAsiaTheme="minorEastAsia"/>
                <w:spacing w:val="-4"/>
                <w:sz w:val="18"/>
                <w:szCs w:val="18"/>
              </w:rPr>
              <w:t>嫩</w:t>
            </w:r>
            <w:r>
              <w:rPr>
                <w:rFonts w:ascii="宋体" w:hAnsi="宋体" w:cs="宋体" w:eastAsiaTheme="minorEastAsia"/>
                <w:spacing w:val="-4"/>
                <w:sz w:val="18"/>
                <w:szCs w:val="18"/>
              </w:rPr>
              <w:t>香馥郁</w:t>
            </w:r>
          </w:p>
        </w:tc>
        <w:tc>
          <w:tcPr>
            <w:tcW w:w="1115" w:type="dxa"/>
          </w:tcPr>
          <w:p>
            <w:pPr>
              <w:spacing w:before="88" w:line="221" w:lineRule="auto"/>
              <w:ind w:left="202"/>
              <w:rPr>
                <w:rFonts w:ascii="宋体" w:hAnsi="宋体" w:cs="宋体" w:eastAsiaTheme="minorEastAsia"/>
                <w:spacing w:val="-4"/>
                <w:sz w:val="18"/>
                <w:szCs w:val="18"/>
              </w:rPr>
            </w:pPr>
            <w:r>
              <w:rPr>
                <w:rFonts w:ascii="宋体" w:hAnsi="宋体" w:cs="宋体" w:eastAsiaTheme="minorEastAsia"/>
                <w:spacing w:val="-4"/>
                <w:sz w:val="18"/>
                <w:szCs w:val="18"/>
              </w:rPr>
              <w:t>鹅黄明亮</w:t>
            </w:r>
          </w:p>
        </w:tc>
        <w:tc>
          <w:tcPr>
            <w:tcW w:w="1031" w:type="dxa"/>
          </w:tcPr>
          <w:p>
            <w:pPr>
              <w:spacing w:before="88" w:line="221" w:lineRule="auto"/>
              <w:ind w:left="162"/>
              <w:rPr>
                <w:rFonts w:ascii="宋体" w:hAnsi="宋体" w:cs="宋体" w:eastAsiaTheme="minorEastAsia"/>
                <w:spacing w:val="-4"/>
                <w:sz w:val="18"/>
                <w:szCs w:val="18"/>
              </w:rPr>
            </w:pPr>
            <w:r>
              <w:rPr>
                <w:rFonts w:ascii="宋体" w:hAnsi="宋体" w:cs="宋体" w:eastAsiaTheme="minorEastAsia"/>
                <w:spacing w:val="-4"/>
                <w:sz w:val="18"/>
                <w:szCs w:val="18"/>
              </w:rPr>
              <w:t>鲜爽</w:t>
            </w:r>
            <w:r>
              <w:rPr>
                <w:rFonts w:hint="eastAsia" w:ascii="宋体" w:hAnsi="宋体" w:cs="宋体" w:eastAsiaTheme="minorEastAsia"/>
                <w:spacing w:val="-4"/>
                <w:sz w:val="18"/>
                <w:szCs w:val="18"/>
              </w:rPr>
              <w:t>回甘</w:t>
            </w:r>
          </w:p>
        </w:tc>
        <w:tc>
          <w:tcPr>
            <w:tcW w:w="1724" w:type="dxa"/>
          </w:tcPr>
          <w:p>
            <w:pPr>
              <w:spacing w:before="88" w:line="221" w:lineRule="auto"/>
              <w:rPr>
                <w:rFonts w:ascii="宋体" w:hAnsi="宋体" w:cs="宋体" w:eastAsiaTheme="minorEastAsia"/>
                <w:spacing w:val="-4"/>
                <w:sz w:val="18"/>
                <w:szCs w:val="18"/>
              </w:rPr>
            </w:pPr>
            <w:r>
              <w:rPr>
                <w:rFonts w:ascii="宋体" w:hAnsi="宋体" w:cs="宋体" w:eastAsiaTheme="minorEastAsia"/>
                <w:spacing w:val="-4"/>
                <w:sz w:val="18"/>
                <w:szCs w:val="18"/>
              </w:rPr>
              <w:t>玉白</w:t>
            </w:r>
            <w:r>
              <w:rPr>
                <w:rFonts w:hint="eastAsia" w:ascii="宋体" w:hAnsi="宋体" w:cs="宋体" w:eastAsiaTheme="minorEastAsia"/>
                <w:spacing w:val="-4"/>
                <w:sz w:val="18"/>
                <w:szCs w:val="18"/>
              </w:rPr>
              <w:t>明亮</w:t>
            </w:r>
            <w:r>
              <w:rPr>
                <w:rFonts w:ascii="宋体" w:hAnsi="宋体" w:cs="宋体" w:eastAsiaTheme="minorEastAsia"/>
                <w:spacing w:val="-4"/>
                <w:sz w:val="18"/>
                <w:szCs w:val="18"/>
              </w:rPr>
              <w:t>、茎脉翠绿</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3" w:hRule="atLeast"/>
        </w:trPr>
        <w:tc>
          <w:tcPr>
            <w:tcW w:w="760" w:type="dxa"/>
          </w:tcPr>
          <w:p>
            <w:pPr>
              <w:spacing w:before="89" w:line="222" w:lineRule="auto"/>
              <w:ind w:left="206"/>
              <w:rPr>
                <w:rFonts w:ascii="宋体" w:hAnsi="宋体" w:cs="宋体" w:eastAsiaTheme="minorEastAsia"/>
                <w:sz w:val="18"/>
                <w:szCs w:val="18"/>
              </w:rPr>
            </w:pPr>
            <w:r>
              <w:rPr>
                <w:rFonts w:ascii="宋体" w:hAnsi="宋体" w:cs="宋体" w:eastAsiaTheme="minorEastAsia"/>
                <w:spacing w:val="-3"/>
                <w:sz w:val="18"/>
                <w:szCs w:val="18"/>
              </w:rPr>
              <w:t>一</w:t>
            </w:r>
            <w:r>
              <w:rPr>
                <w:rFonts w:ascii="宋体" w:hAnsi="宋体" w:cs="宋体" w:eastAsiaTheme="minorEastAsia"/>
                <w:spacing w:val="-2"/>
                <w:sz w:val="18"/>
                <w:szCs w:val="18"/>
              </w:rPr>
              <w:t>级</w:t>
            </w:r>
          </w:p>
        </w:tc>
        <w:tc>
          <w:tcPr>
            <w:tcW w:w="1084" w:type="dxa"/>
          </w:tcPr>
          <w:p>
            <w:pPr>
              <w:spacing w:before="88" w:line="221" w:lineRule="auto"/>
              <w:jc w:val="center"/>
              <w:rPr>
                <w:rFonts w:ascii="宋体" w:hAnsi="宋体" w:cs="宋体" w:eastAsiaTheme="minorEastAsia"/>
                <w:spacing w:val="-4"/>
                <w:sz w:val="18"/>
                <w:szCs w:val="18"/>
              </w:rPr>
            </w:pPr>
            <w:r>
              <w:rPr>
                <w:rFonts w:hint="eastAsia" w:ascii="宋体" w:hAnsi="宋体" w:cs="宋体" w:eastAsiaTheme="minorEastAsia"/>
                <w:spacing w:val="-4"/>
                <w:sz w:val="18"/>
                <w:szCs w:val="18"/>
              </w:rPr>
              <w:t>挺直</w:t>
            </w:r>
            <w:r>
              <w:rPr>
                <w:rFonts w:ascii="宋体" w:hAnsi="宋体" w:cs="宋体" w:eastAsiaTheme="minorEastAsia"/>
                <w:spacing w:val="-4"/>
                <w:sz w:val="18"/>
                <w:szCs w:val="18"/>
              </w:rPr>
              <w:t>略扁</w:t>
            </w:r>
          </w:p>
        </w:tc>
        <w:tc>
          <w:tcPr>
            <w:tcW w:w="1328" w:type="dxa"/>
          </w:tcPr>
          <w:p>
            <w:pPr>
              <w:spacing w:before="88" w:line="220" w:lineRule="auto"/>
              <w:ind w:left="-2" w:leftChars="-1" w:firstLine="1"/>
              <w:jc w:val="center"/>
              <w:rPr>
                <w:rFonts w:ascii="宋体" w:hAnsi="宋体" w:cs="宋体" w:eastAsiaTheme="minorEastAsia"/>
                <w:spacing w:val="-4"/>
                <w:sz w:val="18"/>
                <w:szCs w:val="18"/>
              </w:rPr>
            </w:pPr>
            <w:r>
              <w:rPr>
                <w:rFonts w:hint="eastAsia" w:ascii="宋体" w:hAnsi="宋体" w:cs="宋体" w:eastAsiaTheme="minorEastAsia"/>
                <w:spacing w:val="-4"/>
                <w:sz w:val="18"/>
                <w:szCs w:val="18"/>
              </w:rPr>
              <w:t>嫩</w:t>
            </w:r>
            <w:r>
              <w:rPr>
                <w:rFonts w:ascii="宋体" w:hAnsi="宋体" w:cs="宋体" w:eastAsiaTheme="minorEastAsia"/>
                <w:spacing w:val="-4"/>
                <w:sz w:val="18"/>
                <w:szCs w:val="18"/>
              </w:rPr>
              <w:t>绿</w:t>
            </w:r>
            <w:r>
              <w:rPr>
                <w:rFonts w:hint="eastAsia" w:ascii="宋体" w:hAnsi="宋体" w:cs="宋体" w:eastAsiaTheme="minorEastAsia"/>
                <w:spacing w:val="-4"/>
                <w:sz w:val="18"/>
                <w:szCs w:val="18"/>
              </w:rPr>
              <w:t>、显金</w:t>
            </w:r>
          </w:p>
        </w:tc>
        <w:tc>
          <w:tcPr>
            <w:tcW w:w="799" w:type="dxa"/>
            <w:vAlign w:val="center"/>
          </w:tcPr>
          <w:p>
            <w:pPr>
              <w:spacing w:before="88" w:line="221" w:lineRule="auto"/>
              <w:ind w:left="2" w:leftChars="1"/>
              <w:jc w:val="center"/>
              <w:rPr>
                <w:rFonts w:ascii="宋体" w:hAnsi="宋体" w:cs="宋体" w:eastAsiaTheme="minorEastAsia"/>
                <w:spacing w:val="-4"/>
                <w:sz w:val="18"/>
                <w:szCs w:val="18"/>
              </w:rPr>
            </w:pPr>
            <w:r>
              <w:rPr>
                <w:rFonts w:hint="eastAsia" w:ascii="宋体" w:hAnsi="宋体" w:cs="宋体" w:eastAsiaTheme="minorEastAsia"/>
                <w:spacing w:val="-4"/>
                <w:sz w:val="18"/>
                <w:szCs w:val="18"/>
              </w:rPr>
              <w:t>匀整</w:t>
            </w:r>
          </w:p>
        </w:tc>
        <w:tc>
          <w:tcPr>
            <w:tcW w:w="765" w:type="dxa"/>
          </w:tcPr>
          <w:p>
            <w:pPr>
              <w:spacing w:before="88" w:line="221" w:lineRule="auto"/>
              <w:jc w:val="center"/>
              <w:rPr>
                <w:rFonts w:ascii="宋体" w:hAnsi="宋体" w:cs="宋体" w:eastAsiaTheme="minorEastAsia"/>
                <w:spacing w:val="-4"/>
                <w:sz w:val="18"/>
                <w:szCs w:val="18"/>
              </w:rPr>
            </w:pPr>
            <w:r>
              <w:rPr>
                <w:rFonts w:ascii="宋体" w:hAnsi="宋体" w:cs="宋体" w:eastAsiaTheme="minorEastAsia"/>
                <w:spacing w:val="-4"/>
                <w:sz w:val="18"/>
                <w:szCs w:val="18"/>
              </w:rPr>
              <w:t>匀净</w:t>
            </w:r>
          </w:p>
        </w:tc>
        <w:tc>
          <w:tcPr>
            <w:tcW w:w="993" w:type="dxa"/>
          </w:tcPr>
          <w:p>
            <w:pPr>
              <w:spacing w:before="88" w:line="221" w:lineRule="auto"/>
              <w:jc w:val="center"/>
              <w:rPr>
                <w:rFonts w:ascii="宋体" w:hAnsi="宋体" w:cs="宋体" w:eastAsiaTheme="minorEastAsia"/>
                <w:spacing w:val="-4"/>
                <w:sz w:val="18"/>
                <w:szCs w:val="18"/>
              </w:rPr>
            </w:pPr>
            <w:r>
              <w:rPr>
                <w:rFonts w:hint="eastAsia" w:ascii="宋体" w:hAnsi="宋体" w:cs="宋体" w:eastAsiaTheme="minorEastAsia"/>
                <w:spacing w:val="-4"/>
                <w:sz w:val="18"/>
                <w:szCs w:val="18"/>
              </w:rPr>
              <w:t>清</w:t>
            </w:r>
            <w:r>
              <w:rPr>
                <w:rFonts w:ascii="宋体" w:hAnsi="宋体" w:cs="宋体" w:eastAsiaTheme="minorEastAsia"/>
                <w:spacing w:val="-4"/>
                <w:sz w:val="18"/>
                <w:szCs w:val="18"/>
              </w:rPr>
              <w:t>香</w:t>
            </w:r>
          </w:p>
        </w:tc>
        <w:tc>
          <w:tcPr>
            <w:tcW w:w="1115" w:type="dxa"/>
          </w:tcPr>
          <w:p>
            <w:pPr>
              <w:spacing w:before="88" w:line="220" w:lineRule="auto"/>
              <w:ind w:firstLine="172" w:firstLineChars="100"/>
              <w:rPr>
                <w:rFonts w:ascii="宋体" w:hAnsi="宋体" w:cs="宋体" w:eastAsiaTheme="minorEastAsia"/>
                <w:spacing w:val="-4"/>
                <w:sz w:val="18"/>
                <w:szCs w:val="18"/>
              </w:rPr>
            </w:pPr>
            <w:r>
              <w:rPr>
                <w:rFonts w:ascii="宋体" w:hAnsi="宋体" w:cs="宋体" w:eastAsiaTheme="minorEastAsia"/>
                <w:spacing w:val="-4"/>
                <w:sz w:val="18"/>
                <w:szCs w:val="18"/>
              </w:rPr>
              <w:t>嫩黄</w:t>
            </w:r>
            <w:r>
              <w:rPr>
                <w:rFonts w:hint="eastAsia" w:ascii="宋体" w:hAnsi="宋体" w:cs="宋体" w:eastAsiaTheme="minorEastAsia"/>
                <w:spacing w:val="-4"/>
                <w:sz w:val="18"/>
                <w:szCs w:val="18"/>
              </w:rPr>
              <w:t>绿明亮</w:t>
            </w:r>
          </w:p>
        </w:tc>
        <w:tc>
          <w:tcPr>
            <w:tcW w:w="1031" w:type="dxa"/>
          </w:tcPr>
          <w:p>
            <w:pPr>
              <w:spacing w:before="88" w:line="221" w:lineRule="auto"/>
              <w:ind w:left="342"/>
              <w:rPr>
                <w:rFonts w:ascii="宋体" w:hAnsi="宋体" w:cs="宋体" w:eastAsiaTheme="minorEastAsia"/>
                <w:spacing w:val="-4"/>
                <w:sz w:val="18"/>
                <w:szCs w:val="18"/>
              </w:rPr>
            </w:pPr>
            <w:r>
              <w:rPr>
                <w:rFonts w:ascii="宋体" w:hAnsi="宋体" w:cs="宋体" w:eastAsiaTheme="minorEastAsia"/>
                <w:spacing w:val="-4"/>
                <w:sz w:val="18"/>
                <w:szCs w:val="18"/>
              </w:rPr>
              <w:t>鲜爽</w:t>
            </w:r>
          </w:p>
        </w:tc>
        <w:tc>
          <w:tcPr>
            <w:tcW w:w="1724" w:type="dxa"/>
          </w:tcPr>
          <w:p>
            <w:pPr>
              <w:spacing w:before="88" w:line="220" w:lineRule="auto"/>
              <w:rPr>
                <w:rFonts w:ascii="宋体" w:hAnsi="宋体" w:cs="宋体" w:eastAsiaTheme="minorEastAsia"/>
                <w:spacing w:val="-4"/>
                <w:sz w:val="18"/>
                <w:szCs w:val="18"/>
              </w:rPr>
            </w:pPr>
            <w:r>
              <w:rPr>
                <w:rFonts w:hint="eastAsia" w:ascii="宋体" w:hAnsi="宋体" w:cs="宋体" w:eastAsiaTheme="minorEastAsia"/>
                <w:spacing w:val="-4"/>
                <w:sz w:val="18"/>
                <w:szCs w:val="18"/>
              </w:rPr>
              <w:t>嫩黄明亮、</w:t>
            </w:r>
            <w:r>
              <w:rPr>
                <w:rFonts w:ascii="宋体" w:hAnsi="宋体" w:cs="宋体" w:eastAsiaTheme="minorEastAsia"/>
                <w:spacing w:val="-4"/>
                <w:sz w:val="18"/>
                <w:szCs w:val="18"/>
              </w:rPr>
              <w:t>茎脉</w:t>
            </w:r>
            <w:r>
              <w:rPr>
                <w:rFonts w:hint="eastAsia" w:ascii="宋体" w:hAnsi="宋体" w:cs="宋体" w:eastAsiaTheme="minorEastAsia"/>
                <w:spacing w:val="-4"/>
                <w:sz w:val="18"/>
                <w:szCs w:val="18"/>
              </w:rPr>
              <w:t>显翠</w:t>
            </w:r>
            <w:r>
              <w:rPr>
                <w:rFonts w:ascii="宋体" w:hAnsi="宋体" w:cs="宋体" w:eastAsiaTheme="minorEastAsia"/>
                <w:spacing w:val="-4"/>
                <w:sz w:val="18"/>
                <w:szCs w:val="18"/>
              </w:rPr>
              <w:t>绿</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8" w:hRule="atLeast"/>
        </w:trPr>
        <w:tc>
          <w:tcPr>
            <w:tcW w:w="760" w:type="dxa"/>
          </w:tcPr>
          <w:p>
            <w:pPr>
              <w:spacing w:before="91" w:line="222" w:lineRule="auto"/>
              <w:ind w:left="206"/>
              <w:rPr>
                <w:rFonts w:ascii="宋体" w:hAnsi="宋体" w:cs="宋体" w:eastAsiaTheme="minorEastAsia"/>
                <w:sz w:val="18"/>
                <w:szCs w:val="18"/>
              </w:rPr>
            </w:pPr>
            <w:r>
              <w:rPr>
                <w:rFonts w:ascii="宋体" w:hAnsi="宋体" w:cs="宋体" w:eastAsiaTheme="minorEastAsia"/>
                <w:spacing w:val="-3"/>
                <w:sz w:val="18"/>
                <w:szCs w:val="18"/>
              </w:rPr>
              <w:t>二</w:t>
            </w:r>
            <w:r>
              <w:rPr>
                <w:rFonts w:ascii="宋体" w:hAnsi="宋体" w:cs="宋体" w:eastAsiaTheme="minorEastAsia"/>
                <w:spacing w:val="-2"/>
                <w:sz w:val="18"/>
                <w:szCs w:val="18"/>
              </w:rPr>
              <w:t>级</w:t>
            </w:r>
          </w:p>
        </w:tc>
        <w:tc>
          <w:tcPr>
            <w:tcW w:w="1084" w:type="dxa"/>
          </w:tcPr>
          <w:p>
            <w:pPr>
              <w:spacing w:before="88" w:line="221" w:lineRule="auto"/>
              <w:jc w:val="center"/>
              <w:rPr>
                <w:rFonts w:ascii="宋体" w:hAnsi="宋体" w:cs="宋体" w:eastAsiaTheme="minorEastAsia"/>
                <w:spacing w:val="-4"/>
                <w:sz w:val="18"/>
                <w:szCs w:val="18"/>
              </w:rPr>
            </w:pPr>
            <w:r>
              <w:rPr>
                <w:rFonts w:ascii="宋体" w:hAnsi="宋体" w:cs="宋体" w:eastAsiaTheme="minorEastAsia"/>
                <w:spacing w:val="-4"/>
                <w:sz w:val="18"/>
                <w:szCs w:val="18"/>
              </w:rPr>
              <w:t>尚</w:t>
            </w:r>
            <w:r>
              <w:rPr>
                <w:rFonts w:hint="eastAsia" w:ascii="宋体" w:hAnsi="宋体" w:cs="宋体" w:eastAsiaTheme="minorEastAsia"/>
                <w:spacing w:val="-4"/>
                <w:sz w:val="18"/>
                <w:szCs w:val="18"/>
              </w:rPr>
              <w:t>挺直</w:t>
            </w:r>
            <w:r>
              <w:rPr>
                <w:rFonts w:ascii="宋体" w:hAnsi="宋体" w:cs="宋体" w:eastAsiaTheme="minorEastAsia"/>
                <w:spacing w:val="-4"/>
                <w:sz w:val="18"/>
                <w:szCs w:val="18"/>
              </w:rPr>
              <w:t>略扁</w:t>
            </w:r>
          </w:p>
        </w:tc>
        <w:tc>
          <w:tcPr>
            <w:tcW w:w="1328" w:type="dxa"/>
          </w:tcPr>
          <w:p>
            <w:pPr>
              <w:spacing w:before="88" w:line="220" w:lineRule="auto"/>
              <w:ind w:left="-2" w:leftChars="-1" w:firstLine="1"/>
              <w:jc w:val="center"/>
              <w:rPr>
                <w:rFonts w:ascii="宋体" w:hAnsi="宋体" w:cs="宋体" w:eastAsiaTheme="minorEastAsia"/>
                <w:spacing w:val="-4"/>
                <w:sz w:val="18"/>
                <w:szCs w:val="18"/>
              </w:rPr>
            </w:pPr>
            <w:r>
              <w:rPr>
                <w:rFonts w:ascii="宋体" w:hAnsi="宋体" w:cs="宋体" w:eastAsiaTheme="minorEastAsia"/>
                <w:spacing w:val="-4"/>
                <w:sz w:val="18"/>
                <w:szCs w:val="18"/>
              </w:rPr>
              <w:t>绿、尚显金</w:t>
            </w:r>
          </w:p>
        </w:tc>
        <w:tc>
          <w:tcPr>
            <w:tcW w:w="799" w:type="dxa"/>
            <w:vAlign w:val="center"/>
          </w:tcPr>
          <w:p>
            <w:pPr>
              <w:spacing w:before="88" w:line="221" w:lineRule="auto"/>
              <w:ind w:left="2" w:leftChars="1"/>
              <w:jc w:val="center"/>
              <w:rPr>
                <w:rFonts w:ascii="宋体" w:hAnsi="宋体" w:cs="宋体" w:eastAsiaTheme="minorEastAsia"/>
                <w:spacing w:val="-4"/>
                <w:sz w:val="18"/>
                <w:szCs w:val="18"/>
              </w:rPr>
            </w:pPr>
            <w:r>
              <w:rPr>
                <w:rFonts w:hint="eastAsia" w:ascii="宋体" w:hAnsi="宋体" w:cs="宋体" w:eastAsiaTheme="minorEastAsia"/>
                <w:spacing w:val="-4"/>
                <w:sz w:val="18"/>
                <w:szCs w:val="18"/>
              </w:rPr>
              <w:t>匀整</w:t>
            </w:r>
          </w:p>
        </w:tc>
        <w:tc>
          <w:tcPr>
            <w:tcW w:w="765" w:type="dxa"/>
          </w:tcPr>
          <w:p>
            <w:pPr>
              <w:spacing w:before="88" w:line="221" w:lineRule="auto"/>
              <w:jc w:val="center"/>
              <w:rPr>
                <w:rFonts w:ascii="宋体" w:hAnsi="宋体" w:cs="宋体" w:eastAsiaTheme="minorEastAsia"/>
                <w:spacing w:val="-4"/>
                <w:sz w:val="18"/>
                <w:szCs w:val="18"/>
              </w:rPr>
            </w:pPr>
            <w:r>
              <w:rPr>
                <w:rFonts w:ascii="宋体" w:hAnsi="宋体" w:cs="宋体" w:eastAsiaTheme="minorEastAsia"/>
                <w:spacing w:val="-4"/>
                <w:sz w:val="18"/>
                <w:szCs w:val="18"/>
              </w:rPr>
              <w:t>匀净</w:t>
            </w:r>
          </w:p>
        </w:tc>
        <w:tc>
          <w:tcPr>
            <w:tcW w:w="993" w:type="dxa"/>
          </w:tcPr>
          <w:p>
            <w:pPr>
              <w:spacing w:before="88" w:line="221" w:lineRule="auto"/>
              <w:jc w:val="center"/>
              <w:rPr>
                <w:rFonts w:ascii="宋体" w:hAnsi="宋体" w:cs="宋体" w:eastAsiaTheme="minorEastAsia"/>
                <w:spacing w:val="-4"/>
                <w:sz w:val="18"/>
                <w:szCs w:val="18"/>
              </w:rPr>
            </w:pPr>
            <w:r>
              <w:rPr>
                <w:rFonts w:hint="eastAsia" w:ascii="宋体" w:hAnsi="宋体" w:cs="宋体" w:eastAsiaTheme="minorEastAsia"/>
                <w:spacing w:val="-4"/>
                <w:sz w:val="18"/>
                <w:szCs w:val="18"/>
              </w:rPr>
              <w:t>栗</w:t>
            </w:r>
            <w:r>
              <w:rPr>
                <w:rFonts w:ascii="宋体" w:hAnsi="宋体" w:cs="宋体" w:eastAsiaTheme="minorEastAsia"/>
                <w:spacing w:val="-4"/>
                <w:sz w:val="18"/>
                <w:szCs w:val="18"/>
              </w:rPr>
              <w:t>香</w:t>
            </w:r>
          </w:p>
        </w:tc>
        <w:tc>
          <w:tcPr>
            <w:tcW w:w="1115" w:type="dxa"/>
          </w:tcPr>
          <w:p>
            <w:pPr>
              <w:spacing w:before="88" w:line="220" w:lineRule="auto"/>
              <w:jc w:val="center"/>
              <w:rPr>
                <w:rFonts w:ascii="宋体" w:hAnsi="宋体" w:cs="宋体" w:eastAsiaTheme="minorEastAsia"/>
                <w:spacing w:val="-4"/>
                <w:sz w:val="18"/>
                <w:szCs w:val="18"/>
              </w:rPr>
            </w:pPr>
            <w:r>
              <w:rPr>
                <w:rFonts w:ascii="宋体" w:hAnsi="宋体" w:cs="宋体" w:eastAsiaTheme="minorEastAsia"/>
                <w:spacing w:val="-4"/>
                <w:sz w:val="18"/>
                <w:szCs w:val="18"/>
              </w:rPr>
              <w:t>黄</w:t>
            </w:r>
            <w:r>
              <w:rPr>
                <w:rFonts w:hint="eastAsia" w:ascii="宋体" w:hAnsi="宋体" w:cs="宋体" w:eastAsiaTheme="minorEastAsia"/>
                <w:spacing w:val="-4"/>
                <w:sz w:val="18"/>
                <w:szCs w:val="18"/>
              </w:rPr>
              <w:t>绿明亮</w:t>
            </w:r>
          </w:p>
        </w:tc>
        <w:tc>
          <w:tcPr>
            <w:tcW w:w="1031" w:type="dxa"/>
          </w:tcPr>
          <w:p>
            <w:pPr>
              <w:spacing w:before="88" w:line="221" w:lineRule="auto"/>
              <w:ind w:left="271"/>
              <w:rPr>
                <w:rFonts w:ascii="宋体" w:hAnsi="宋体" w:cs="宋体" w:eastAsiaTheme="minorEastAsia"/>
                <w:spacing w:val="-4"/>
                <w:sz w:val="18"/>
                <w:szCs w:val="18"/>
              </w:rPr>
            </w:pPr>
            <w:r>
              <w:rPr>
                <w:rFonts w:ascii="宋体" w:hAnsi="宋体" w:cs="宋体" w:eastAsiaTheme="minorEastAsia"/>
                <w:spacing w:val="-4"/>
                <w:sz w:val="18"/>
                <w:szCs w:val="18"/>
              </w:rPr>
              <w:t>尚鲜爽</w:t>
            </w:r>
          </w:p>
        </w:tc>
        <w:tc>
          <w:tcPr>
            <w:tcW w:w="1724" w:type="dxa"/>
          </w:tcPr>
          <w:p>
            <w:pPr>
              <w:spacing w:before="88" w:line="220" w:lineRule="auto"/>
              <w:ind w:left="351"/>
              <w:rPr>
                <w:rFonts w:ascii="宋体" w:hAnsi="宋体" w:cs="宋体" w:eastAsiaTheme="minorEastAsia"/>
                <w:spacing w:val="-4"/>
                <w:sz w:val="18"/>
                <w:szCs w:val="18"/>
              </w:rPr>
            </w:pPr>
            <w:r>
              <w:rPr>
                <w:rFonts w:ascii="宋体" w:hAnsi="宋体" w:cs="宋体" w:eastAsiaTheme="minorEastAsia"/>
                <w:spacing w:val="-4"/>
                <w:sz w:val="18"/>
                <w:szCs w:val="18"/>
              </w:rPr>
              <w:t>黄</w:t>
            </w:r>
            <w:r>
              <w:rPr>
                <w:rFonts w:hint="eastAsia" w:ascii="宋体" w:hAnsi="宋体" w:cs="宋体" w:eastAsiaTheme="minorEastAsia"/>
                <w:spacing w:val="-4"/>
                <w:sz w:val="18"/>
                <w:szCs w:val="18"/>
              </w:rPr>
              <w:t>绿明</w:t>
            </w:r>
            <w:r>
              <w:rPr>
                <w:rFonts w:ascii="宋体" w:hAnsi="宋体" w:cs="宋体" w:eastAsiaTheme="minorEastAsia"/>
                <w:spacing w:val="-4"/>
                <w:sz w:val="18"/>
                <w:szCs w:val="18"/>
              </w:rPr>
              <w:t>亮、脉绿</w:t>
            </w:r>
          </w:p>
        </w:tc>
      </w:tr>
      <w:bookmarkEnd w:id="54"/>
      <w:bookmarkEnd w:id="55"/>
    </w:tbl>
    <w:p>
      <w:pPr>
        <w:pStyle w:val="56"/>
        <w:ind w:firstLine="422"/>
        <w:jc w:val="center"/>
        <w:rPr>
          <w:b/>
        </w:rPr>
      </w:pPr>
    </w:p>
    <w:p>
      <w:pPr>
        <w:pStyle w:val="112"/>
        <w:spacing w:before="156" w:after="156"/>
      </w:pPr>
      <w:r>
        <w:rPr>
          <w:rFonts w:hint="eastAsia"/>
        </w:rPr>
        <w:t>卷曲形天目湖白茶感官要求</w:t>
      </w:r>
    </w:p>
    <w:tbl>
      <w:tblPr>
        <w:tblStyle w:val="230"/>
        <w:tblW w:w="9502" w:type="dxa"/>
        <w:tblInd w:w="-28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60"/>
        <w:gridCol w:w="942"/>
        <w:gridCol w:w="1328"/>
        <w:gridCol w:w="798"/>
        <w:gridCol w:w="855"/>
        <w:gridCol w:w="992"/>
        <w:gridCol w:w="992"/>
        <w:gridCol w:w="992"/>
        <w:gridCol w:w="184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23" w:hRule="atLeast"/>
        </w:trPr>
        <w:tc>
          <w:tcPr>
            <w:tcW w:w="760" w:type="dxa"/>
            <w:vMerge w:val="restart"/>
            <w:tcBorders>
              <w:bottom w:val="nil"/>
            </w:tcBorders>
            <w:vAlign w:val="center"/>
          </w:tcPr>
          <w:p>
            <w:pPr>
              <w:spacing w:before="231" w:line="221" w:lineRule="auto"/>
              <w:ind w:left="206"/>
              <w:jc w:val="center"/>
              <w:rPr>
                <w:rFonts w:ascii="宋体" w:hAnsi="宋体" w:cs="宋体" w:eastAsiaTheme="minorEastAsia"/>
                <w:sz w:val="18"/>
                <w:szCs w:val="18"/>
              </w:rPr>
            </w:pPr>
            <w:r>
              <w:rPr>
                <w:rFonts w:ascii="宋体" w:hAnsi="宋体" w:cs="宋体" w:eastAsiaTheme="minorEastAsia"/>
                <w:spacing w:val="-3"/>
                <w:sz w:val="18"/>
                <w:szCs w:val="18"/>
              </w:rPr>
              <w:t>级</w:t>
            </w:r>
            <w:r>
              <w:rPr>
                <w:rFonts w:ascii="宋体" w:hAnsi="宋体" w:cs="宋体" w:eastAsiaTheme="minorEastAsia"/>
                <w:spacing w:val="-2"/>
                <w:sz w:val="18"/>
                <w:szCs w:val="18"/>
              </w:rPr>
              <w:t>别</w:t>
            </w:r>
          </w:p>
        </w:tc>
        <w:tc>
          <w:tcPr>
            <w:tcW w:w="3923" w:type="dxa"/>
            <w:gridSpan w:val="4"/>
          </w:tcPr>
          <w:p>
            <w:pPr>
              <w:spacing w:before="70" w:line="221" w:lineRule="auto"/>
              <w:jc w:val="center"/>
              <w:rPr>
                <w:rFonts w:ascii="宋体" w:hAnsi="宋体" w:cs="宋体" w:eastAsiaTheme="minorEastAsia"/>
                <w:sz w:val="18"/>
                <w:szCs w:val="18"/>
              </w:rPr>
            </w:pPr>
            <w:r>
              <w:rPr>
                <w:rFonts w:ascii="宋体" w:hAnsi="宋体" w:cs="宋体" w:eastAsiaTheme="minorEastAsia"/>
                <w:spacing w:val="1"/>
                <w:sz w:val="18"/>
                <w:szCs w:val="18"/>
              </w:rPr>
              <w:t>外</w:t>
            </w:r>
            <w:r>
              <w:rPr>
                <w:rFonts w:ascii="宋体" w:hAnsi="宋体" w:cs="宋体" w:eastAsiaTheme="minorEastAsia"/>
                <w:sz w:val="18"/>
                <w:szCs w:val="18"/>
              </w:rPr>
              <w:t xml:space="preserve">    形</w:t>
            </w:r>
          </w:p>
        </w:tc>
        <w:tc>
          <w:tcPr>
            <w:tcW w:w="4819" w:type="dxa"/>
            <w:gridSpan w:val="4"/>
            <w:vAlign w:val="center"/>
          </w:tcPr>
          <w:p>
            <w:pPr>
              <w:spacing w:before="71" w:line="220" w:lineRule="auto"/>
              <w:jc w:val="center"/>
              <w:rPr>
                <w:rFonts w:ascii="宋体" w:hAnsi="宋体" w:cs="宋体" w:eastAsiaTheme="minorEastAsia"/>
                <w:sz w:val="18"/>
                <w:szCs w:val="18"/>
              </w:rPr>
            </w:pPr>
            <w:r>
              <w:rPr>
                <w:rFonts w:ascii="宋体" w:hAnsi="宋体" w:cs="宋体" w:eastAsiaTheme="minorEastAsia"/>
                <w:spacing w:val="-4"/>
                <w:sz w:val="18"/>
                <w:szCs w:val="18"/>
              </w:rPr>
              <w:t>内</w:t>
            </w:r>
            <w:r>
              <w:rPr>
                <w:rFonts w:ascii="宋体" w:hAnsi="宋体" w:cs="宋体" w:eastAsiaTheme="minorEastAsia"/>
                <w:spacing w:val="-3"/>
                <w:sz w:val="18"/>
                <w:szCs w:val="18"/>
              </w:rPr>
              <w:t xml:space="preserve"> </w:t>
            </w:r>
            <w:r>
              <w:rPr>
                <w:rFonts w:ascii="宋体" w:hAnsi="宋体" w:cs="宋体" w:eastAsiaTheme="minorEastAsia"/>
                <w:spacing w:val="-2"/>
                <w:sz w:val="18"/>
                <w:szCs w:val="18"/>
              </w:rPr>
              <w:t xml:space="preserve">     质</w:t>
            </w:r>
          </w:p>
        </w:tc>
      </w:tr>
      <w:tr>
        <w:trPr>
          <w:trHeight w:val="316" w:hRule="atLeast"/>
        </w:trPr>
        <w:tc>
          <w:tcPr>
            <w:tcW w:w="760" w:type="dxa"/>
            <w:vMerge w:val="continue"/>
            <w:tcBorders>
              <w:top w:val="nil"/>
            </w:tcBorders>
            <w:vAlign w:val="center"/>
          </w:tcPr>
          <w:p>
            <w:pPr>
              <w:jc w:val="center"/>
              <w:rPr>
                <w:rFonts w:ascii="Arial" w:hAnsi="Arial" w:cs="Arial" w:eastAsiaTheme="minorEastAsia"/>
              </w:rPr>
            </w:pPr>
          </w:p>
        </w:tc>
        <w:tc>
          <w:tcPr>
            <w:tcW w:w="942" w:type="dxa"/>
            <w:vAlign w:val="center"/>
          </w:tcPr>
          <w:p>
            <w:pPr>
              <w:spacing w:before="64" w:line="221" w:lineRule="auto"/>
              <w:jc w:val="center"/>
              <w:rPr>
                <w:rFonts w:ascii="宋体" w:hAnsi="宋体" w:cs="宋体" w:eastAsiaTheme="minorEastAsia"/>
                <w:spacing w:val="-4"/>
                <w:sz w:val="18"/>
                <w:szCs w:val="18"/>
              </w:rPr>
            </w:pPr>
            <w:r>
              <w:rPr>
                <w:rFonts w:ascii="宋体" w:hAnsi="宋体" w:cs="宋体" w:eastAsiaTheme="minorEastAsia"/>
                <w:spacing w:val="-4"/>
                <w:sz w:val="18"/>
                <w:szCs w:val="18"/>
              </w:rPr>
              <w:t>条索</w:t>
            </w:r>
          </w:p>
        </w:tc>
        <w:tc>
          <w:tcPr>
            <w:tcW w:w="1328" w:type="dxa"/>
            <w:vAlign w:val="center"/>
          </w:tcPr>
          <w:p>
            <w:pPr>
              <w:spacing w:before="64" w:line="221" w:lineRule="auto"/>
              <w:jc w:val="center"/>
              <w:rPr>
                <w:rFonts w:ascii="宋体" w:hAnsi="宋体" w:cs="宋体" w:eastAsiaTheme="minorEastAsia"/>
                <w:spacing w:val="-4"/>
                <w:sz w:val="18"/>
                <w:szCs w:val="18"/>
              </w:rPr>
            </w:pPr>
            <w:r>
              <w:rPr>
                <w:rFonts w:ascii="宋体" w:hAnsi="宋体" w:cs="宋体" w:eastAsiaTheme="minorEastAsia"/>
                <w:spacing w:val="-4"/>
                <w:sz w:val="18"/>
                <w:szCs w:val="18"/>
              </w:rPr>
              <w:t>色泽</w:t>
            </w:r>
          </w:p>
        </w:tc>
        <w:tc>
          <w:tcPr>
            <w:tcW w:w="798" w:type="dxa"/>
          </w:tcPr>
          <w:p>
            <w:pPr>
              <w:spacing w:before="64" w:line="221" w:lineRule="auto"/>
              <w:jc w:val="center"/>
              <w:rPr>
                <w:rFonts w:ascii="宋体" w:hAnsi="宋体" w:cs="宋体" w:eastAsiaTheme="minorEastAsia"/>
                <w:spacing w:val="-4"/>
                <w:sz w:val="18"/>
                <w:szCs w:val="18"/>
              </w:rPr>
            </w:pPr>
            <w:r>
              <w:rPr>
                <w:rFonts w:ascii="宋体" w:hAnsi="宋体" w:cs="宋体" w:eastAsiaTheme="minorEastAsia"/>
                <w:spacing w:val="-4"/>
                <w:sz w:val="18"/>
                <w:szCs w:val="18"/>
              </w:rPr>
              <w:t>整碎</w:t>
            </w:r>
          </w:p>
        </w:tc>
        <w:tc>
          <w:tcPr>
            <w:tcW w:w="855" w:type="dxa"/>
            <w:vAlign w:val="center"/>
          </w:tcPr>
          <w:p>
            <w:pPr>
              <w:spacing w:before="64" w:line="221" w:lineRule="auto"/>
              <w:ind w:left="2" w:leftChars="1"/>
              <w:jc w:val="center"/>
              <w:rPr>
                <w:rFonts w:ascii="宋体" w:hAnsi="宋体" w:cs="宋体" w:eastAsiaTheme="minorEastAsia"/>
                <w:spacing w:val="-4"/>
                <w:sz w:val="18"/>
                <w:szCs w:val="18"/>
              </w:rPr>
            </w:pPr>
            <w:r>
              <w:rPr>
                <w:rFonts w:ascii="宋体" w:hAnsi="宋体" w:cs="宋体" w:eastAsiaTheme="minorEastAsia"/>
                <w:spacing w:val="-4"/>
                <w:sz w:val="18"/>
                <w:szCs w:val="18"/>
              </w:rPr>
              <w:t>匀净度</w:t>
            </w:r>
          </w:p>
        </w:tc>
        <w:tc>
          <w:tcPr>
            <w:tcW w:w="992" w:type="dxa"/>
            <w:vAlign w:val="center"/>
          </w:tcPr>
          <w:p>
            <w:pPr>
              <w:spacing w:before="64" w:line="221" w:lineRule="auto"/>
              <w:jc w:val="center"/>
              <w:rPr>
                <w:rFonts w:ascii="宋体" w:hAnsi="宋体" w:cs="宋体" w:eastAsiaTheme="minorEastAsia"/>
                <w:spacing w:val="-4"/>
                <w:sz w:val="18"/>
                <w:szCs w:val="18"/>
              </w:rPr>
            </w:pPr>
            <w:r>
              <w:rPr>
                <w:rFonts w:ascii="宋体" w:hAnsi="宋体" w:cs="宋体" w:eastAsiaTheme="minorEastAsia"/>
                <w:spacing w:val="-4"/>
                <w:sz w:val="18"/>
                <w:szCs w:val="18"/>
              </w:rPr>
              <w:t>香气</w:t>
            </w:r>
          </w:p>
        </w:tc>
        <w:tc>
          <w:tcPr>
            <w:tcW w:w="992" w:type="dxa"/>
            <w:vAlign w:val="center"/>
          </w:tcPr>
          <w:p>
            <w:pPr>
              <w:spacing w:before="64" w:line="221" w:lineRule="auto"/>
              <w:jc w:val="center"/>
              <w:rPr>
                <w:rFonts w:ascii="宋体" w:hAnsi="宋体" w:cs="宋体" w:eastAsiaTheme="minorEastAsia"/>
                <w:spacing w:val="-4"/>
                <w:sz w:val="18"/>
                <w:szCs w:val="18"/>
              </w:rPr>
            </w:pPr>
            <w:r>
              <w:rPr>
                <w:rFonts w:ascii="宋体" w:hAnsi="宋体" w:cs="宋体" w:eastAsiaTheme="minorEastAsia"/>
                <w:spacing w:val="-4"/>
                <w:sz w:val="18"/>
                <w:szCs w:val="18"/>
              </w:rPr>
              <w:t>汤色</w:t>
            </w:r>
          </w:p>
        </w:tc>
        <w:tc>
          <w:tcPr>
            <w:tcW w:w="992" w:type="dxa"/>
            <w:vAlign w:val="center"/>
          </w:tcPr>
          <w:p>
            <w:pPr>
              <w:spacing w:before="64" w:line="221" w:lineRule="auto"/>
              <w:ind w:left="343"/>
              <w:rPr>
                <w:rFonts w:ascii="宋体" w:hAnsi="宋体" w:cs="宋体" w:eastAsiaTheme="minorEastAsia"/>
                <w:spacing w:val="-4"/>
                <w:sz w:val="18"/>
                <w:szCs w:val="18"/>
              </w:rPr>
            </w:pPr>
            <w:r>
              <w:rPr>
                <w:rFonts w:ascii="宋体" w:hAnsi="宋体" w:cs="宋体" w:eastAsiaTheme="minorEastAsia"/>
                <w:spacing w:val="-4"/>
                <w:sz w:val="18"/>
                <w:szCs w:val="18"/>
              </w:rPr>
              <w:t>滋味</w:t>
            </w:r>
          </w:p>
        </w:tc>
        <w:tc>
          <w:tcPr>
            <w:tcW w:w="1843" w:type="dxa"/>
            <w:vAlign w:val="center"/>
          </w:tcPr>
          <w:p>
            <w:pPr>
              <w:spacing w:before="64" w:line="221" w:lineRule="auto"/>
              <w:ind w:left="635"/>
              <w:rPr>
                <w:rFonts w:ascii="宋体" w:hAnsi="宋体" w:cs="宋体" w:eastAsiaTheme="minorEastAsia"/>
                <w:spacing w:val="-4"/>
                <w:sz w:val="18"/>
                <w:szCs w:val="18"/>
              </w:rPr>
            </w:pPr>
            <w:r>
              <w:rPr>
                <w:rFonts w:ascii="宋体" w:hAnsi="宋体" w:cs="宋体" w:eastAsiaTheme="minorEastAsia"/>
                <w:spacing w:val="-4"/>
                <w:sz w:val="18"/>
                <w:szCs w:val="18"/>
              </w:rPr>
              <w:t>叶底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4" w:hRule="atLeast"/>
        </w:trPr>
        <w:tc>
          <w:tcPr>
            <w:tcW w:w="760" w:type="dxa"/>
            <w:vAlign w:val="center"/>
          </w:tcPr>
          <w:p>
            <w:pPr>
              <w:spacing w:before="89" w:line="220" w:lineRule="auto"/>
              <w:ind w:left="203"/>
              <w:rPr>
                <w:rFonts w:ascii="宋体" w:hAnsi="宋体" w:cs="宋体" w:eastAsiaTheme="minorEastAsia"/>
                <w:sz w:val="18"/>
                <w:szCs w:val="18"/>
              </w:rPr>
            </w:pPr>
            <w:r>
              <w:rPr>
                <w:rFonts w:ascii="宋体" w:hAnsi="宋体" w:cs="宋体" w:eastAsiaTheme="minorEastAsia"/>
                <w:spacing w:val="-2"/>
                <w:sz w:val="18"/>
                <w:szCs w:val="18"/>
              </w:rPr>
              <w:t>特级</w:t>
            </w:r>
          </w:p>
        </w:tc>
        <w:tc>
          <w:tcPr>
            <w:tcW w:w="942" w:type="dxa"/>
            <w:vAlign w:val="center"/>
          </w:tcPr>
          <w:p>
            <w:pPr>
              <w:spacing w:before="64" w:line="221" w:lineRule="auto"/>
              <w:jc w:val="center"/>
              <w:rPr>
                <w:rFonts w:ascii="宋体" w:hAnsi="宋体" w:cs="宋体" w:eastAsiaTheme="minorEastAsia"/>
                <w:spacing w:val="-4"/>
                <w:sz w:val="18"/>
                <w:szCs w:val="18"/>
              </w:rPr>
            </w:pPr>
            <w:r>
              <w:rPr>
                <w:rFonts w:hint="eastAsia" w:ascii="宋体" w:hAnsi="宋体" w:cs="宋体" w:eastAsiaTheme="minorEastAsia"/>
                <w:spacing w:val="-4"/>
                <w:sz w:val="18"/>
                <w:szCs w:val="18"/>
              </w:rPr>
              <w:t>紧细卷曲</w:t>
            </w:r>
          </w:p>
        </w:tc>
        <w:tc>
          <w:tcPr>
            <w:tcW w:w="1328" w:type="dxa"/>
            <w:vAlign w:val="center"/>
          </w:tcPr>
          <w:p>
            <w:pPr>
              <w:spacing w:before="64" w:line="221" w:lineRule="auto"/>
              <w:jc w:val="center"/>
              <w:rPr>
                <w:rFonts w:ascii="宋体" w:hAnsi="宋体" w:cs="宋体" w:eastAsiaTheme="minorEastAsia"/>
                <w:spacing w:val="-4"/>
                <w:sz w:val="18"/>
                <w:szCs w:val="18"/>
              </w:rPr>
            </w:pPr>
            <w:r>
              <w:rPr>
                <w:rFonts w:hint="eastAsia" w:ascii="宋体" w:hAnsi="宋体" w:cs="宋体" w:eastAsiaTheme="minorEastAsia"/>
                <w:spacing w:val="-4"/>
                <w:sz w:val="18"/>
                <w:szCs w:val="18"/>
              </w:rPr>
              <w:t>玉绿</w:t>
            </w:r>
            <w:r>
              <w:rPr>
                <w:rFonts w:hint="eastAsia" w:ascii="宋体" w:hAnsi="宋体" w:cs="宋体" w:eastAsiaTheme="minorEastAsia"/>
                <w:spacing w:val="-4"/>
                <w:sz w:val="18"/>
                <w:szCs w:val="18"/>
                <w:lang w:eastAsia="zh-Hans"/>
              </w:rPr>
              <w:t>、</w:t>
            </w:r>
            <w:r>
              <w:rPr>
                <w:rFonts w:hint="eastAsia" w:ascii="宋体" w:hAnsi="宋体" w:cs="宋体" w:eastAsiaTheme="minorEastAsia"/>
                <w:spacing w:val="-4"/>
                <w:sz w:val="18"/>
                <w:szCs w:val="18"/>
              </w:rPr>
              <w:t>显金</w:t>
            </w:r>
          </w:p>
        </w:tc>
        <w:tc>
          <w:tcPr>
            <w:tcW w:w="798" w:type="dxa"/>
            <w:vAlign w:val="center"/>
          </w:tcPr>
          <w:p>
            <w:pPr>
              <w:spacing w:before="64" w:line="221" w:lineRule="auto"/>
              <w:jc w:val="center"/>
              <w:rPr>
                <w:rFonts w:ascii="宋体" w:hAnsi="宋体" w:cs="宋体" w:eastAsiaTheme="minorEastAsia"/>
                <w:spacing w:val="-4"/>
                <w:sz w:val="18"/>
                <w:szCs w:val="18"/>
              </w:rPr>
            </w:pPr>
            <w:r>
              <w:rPr>
                <w:rFonts w:hint="eastAsia" w:ascii="宋体" w:hAnsi="宋体" w:cs="宋体" w:eastAsiaTheme="minorEastAsia"/>
                <w:spacing w:val="-4"/>
                <w:sz w:val="18"/>
                <w:szCs w:val="18"/>
              </w:rPr>
              <w:t>匀整</w:t>
            </w:r>
          </w:p>
        </w:tc>
        <w:tc>
          <w:tcPr>
            <w:tcW w:w="855" w:type="dxa"/>
            <w:vAlign w:val="center"/>
          </w:tcPr>
          <w:p>
            <w:pPr>
              <w:spacing w:before="64" w:line="221" w:lineRule="auto"/>
              <w:jc w:val="center"/>
              <w:rPr>
                <w:rFonts w:ascii="宋体" w:hAnsi="宋体" w:cs="宋体" w:eastAsiaTheme="minorEastAsia"/>
                <w:spacing w:val="-4"/>
                <w:sz w:val="18"/>
                <w:szCs w:val="18"/>
              </w:rPr>
            </w:pPr>
            <w:r>
              <w:rPr>
                <w:rFonts w:ascii="宋体" w:hAnsi="宋体" w:cs="宋体" w:eastAsiaTheme="minorEastAsia"/>
                <w:spacing w:val="-4"/>
                <w:sz w:val="18"/>
                <w:szCs w:val="18"/>
              </w:rPr>
              <w:t>匀净</w:t>
            </w:r>
          </w:p>
        </w:tc>
        <w:tc>
          <w:tcPr>
            <w:tcW w:w="992" w:type="dxa"/>
            <w:vAlign w:val="center"/>
          </w:tcPr>
          <w:p>
            <w:pPr>
              <w:spacing w:before="64" w:line="221" w:lineRule="auto"/>
              <w:jc w:val="center"/>
              <w:rPr>
                <w:rFonts w:ascii="宋体" w:hAnsi="宋体" w:cs="宋体" w:eastAsiaTheme="minorEastAsia"/>
                <w:spacing w:val="-4"/>
                <w:sz w:val="18"/>
                <w:szCs w:val="18"/>
              </w:rPr>
            </w:pPr>
            <w:r>
              <w:rPr>
                <w:rFonts w:hint="eastAsia" w:ascii="宋体" w:hAnsi="宋体" w:cs="宋体" w:eastAsiaTheme="minorEastAsia"/>
                <w:spacing w:val="-4"/>
                <w:sz w:val="18"/>
                <w:szCs w:val="18"/>
              </w:rPr>
              <w:t>嫩香持久</w:t>
            </w:r>
          </w:p>
        </w:tc>
        <w:tc>
          <w:tcPr>
            <w:tcW w:w="992" w:type="dxa"/>
            <w:vAlign w:val="center"/>
          </w:tcPr>
          <w:p>
            <w:pPr>
              <w:spacing w:before="64" w:line="221" w:lineRule="auto"/>
              <w:jc w:val="center"/>
              <w:rPr>
                <w:rFonts w:ascii="宋体" w:hAnsi="宋体" w:cs="宋体" w:eastAsiaTheme="minorEastAsia"/>
                <w:spacing w:val="-4"/>
                <w:sz w:val="18"/>
                <w:szCs w:val="18"/>
              </w:rPr>
            </w:pPr>
            <w:r>
              <w:rPr>
                <w:rFonts w:hint="eastAsia" w:ascii="宋体" w:hAnsi="宋体" w:cs="宋体" w:eastAsiaTheme="minorEastAsia"/>
                <w:spacing w:val="-4"/>
                <w:sz w:val="18"/>
                <w:szCs w:val="18"/>
              </w:rPr>
              <w:t>鹅黄明亮</w:t>
            </w:r>
          </w:p>
        </w:tc>
        <w:tc>
          <w:tcPr>
            <w:tcW w:w="992" w:type="dxa"/>
            <w:vAlign w:val="center"/>
          </w:tcPr>
          <w:p>
            <w:pPr>
              <w:spacing w:before="64" w:line="221" w:lineRule="auto"/>
              <w:jc w:val="center"/>
              <w:rPr>
                <w:rFonts w:ascii="宋体" w:hAnsi="宋体" w:cs="宋体" w:eastAsiaTheme="minorEastAsia"/>
                <w:spacing w:val="-4"/>
                <w:sz w:val="18"/>
                <w:szCs w:val="18"/>
              </w:rPr>
            </w:pPr>
            <w:r>
              <w:rPr>
                <w:rFonts w:hint="eastAsia" w:ascii="宋体" w:hAnsi="宋体" w:cs="宋体" w:eastAsiaTheme="minorEastAsia"/>
                <w:spacing w:val="-4"/>
                <w:sz w:val="18"/>
                <w:szCs w:val="18"/>
              </w:rPr>
              <w:t>鲜醇甘爽</w:t>
            </w:r>
          </w:p>
        </w:tc>
        <w:tc>
          <w:tcPr>
            <w:tcW w:w="1843" w:type="dxa"/>
          </w:tcPr>
          <w:p>
            <w:pPr>
              <w:spacing w:before="64" w:line="221" w:lineRule="auto"/>
              <w:jc w:val="center"/>
              <w:rPr>
                <w:rFonts w:ascii="宋体" w:hAnsi="宋体" w:cs="宋体" w:eastAsiaTheme="minorEastAsia"/>
                <w:spacing w:val="-4"/>
                <w:sz w:val="18"/>
                <w:szCs w:val="18"/>
              </w:rPr>
            </w:pPr>
            <w:r>
              <w:rPr>
                <w:rFonts w:ascii="宋体" w:hAnsi="宋体" w:cs="宋体" w:eastAsiaTheme="minorEastAsia"/>
                <w:spacing w:val="-4"/>
                <w:sz w:val="18"/>
                <w:szCs w:val="18"/>
              </w:rPr>
              <w:t>玉白</w:t>
            </w:r>
            <w:r>
              <w:rPr>
                <w:rFonts w:hint="eastAsia" w:ascii="宋体" w:hAnsi="宋体" w:cs="宋体" w:eastAsiaTheme="minorEastAsia"/>
                <w:spacing w:val="-4"/>
                <w:sz w:val="18"/>
                <w:szCs w:val="18"/>
              </w:rPr>
              <w:t>明亮</w:t>
            </w:r>
            <w:r>
              <w:rPr>
                <w:rFonts w:ascii="宋体" w:hAnsi="宋体" w:cs="宋体" w:eastAsiaTheme="minorEastAsia"/>
                <w:spacing w:val="-4"/>
                <w:sz w:val="18"/>
                <w:szCs w:val="18"/>
              </w:rPr>
              <w:t>、茎脉翠绿</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3" w:hRule="atLeast"/>
        </w:trPr>
        <w:tc>
          <w:tcPr>
            <w:tcW w:w="760" w:type="dxa"/>
            <w:vAlign w:val="center"/>
          </w:tcPr>
          <w:p>
            <w:pPr>
              <w:spacing w:before="89" w:line="222" w:lineRule="auto"/>
              <w:ind w:left="206"/>
              <w:rPr>
                <w:rFonts w:ascii="宋体" w:hAnsi="宋体" w:cs="宋体" w:eastAsiaTheme="minorEastAsia"/>
                <w:sz w:val="18"/>
                <w:szCs w:val="18"/>
              </w:rPr>
            </w:pPr>
            <w:r>
              <w:rPr>
                <w:rFonts w:ascii="宋体" w:hAnsi="宋体" w:cs="宋体" w:eastAsiaTheme="minorEastAsia"/>
                <w:spacing w:val="-3"/>
                <w:sz w:val="18"/>
                <w:szCs w:val="18"/>
              </w:rPr>
              <w:t>一</w:t>
            </w:r>
            <w:r>
              <w:rPr>
                <w:rFonts w:ascii="宋体" w:hAnsi="宋体" w:cs="宋体" w:eastAsiaTheme="minorEastAsia"/>
                <w:spacing w:val="-2"/>
                <w:sz w:val="18"/>
                <w:szCs w:val="18"/>
              </w:rPr>
              <w:t>级</w:t>
            </w:r>
          </w:p>
        </w:tc>
        <w:tc>
          <w:tcPr>
            <w:tcW w:w="942" w:type="dxa"/>
            <w:vAlign w:val="center"/>
          </w:tcPr>
          <w:p>
            <w:pPr>
              <w:spacing w:before="64" w:line="221" w:lineRule="auto"/>
              <w:jc w:val="center"/>
              <w:rPr>
                <w:rFonts w:ascii="宋体" w:hAnsi="宋体" w:cs="宋体" w:eastAsiaTheme="minorEastAsia"/>
                <w:spacing w:val="-4"/>
                <w:sz w:val="18"/>
                <w:szCs w:val="18"/>
              </w:rPr>
            </w:pPr>
            <w:r>
              <w:rPr>
                <w:rFonts w:hint="eastAsia" w:ascii="宋体" w:hAnsi="宋体" w:cs="宋体" w:eastAsiaTheme="minorEastAsia"/>
                <w:spacing w:val="-4"/>
                <w:sz w:val="18"/>
                <w:szCs w:val="18"/>
              </w:rPr>
              <w:t>紧结卷曲</w:t>
            </w:r>
          </w:p>
        </w:tc>
        <w:tc>
          <w:tcPr>
            <w:tcW w:w="1328" w:type="dxa"/>
            <w:vAlign w:val="center"/>
          </w:tcPr>
          <w:p>
            <w:pPr>
              <w:spacing w:before="64" w:line="221" w:lineRule="auto"/>
              <w:jc w:val="center"/>
              <w:rPr>
                <w:rFonts w:ascii="宋体" w:hAnsi="宋体" w:cs="宋体" w:eastAsiaTheme="minorEastAsia"/>
                <w:spacing w:val="-4"/>
                <w:sz w:val="18"/>
                <w:szCs w:val="18"/>
              </w:rPr>
            </w:pPr>
            <w:r>
              <w:rPr>
                <w:rFonts w:hint="eastAsia" w:ascii="宋体" w:hAnsi="宋体" w:cs="宋体" w:eastAsiaTheme="minorEastAsia"/>
                <w:spacing w:val="-4"/>
                <w:sz w:val="18"/>
                <w:szCs w:val="18"/>
              </w:rPr>
              <w:t>嫩绿</w:t>
            </w:r>
            <w:r>
              <w:rPr>
                <w:rFonts w:hint="eastAsia" w:ascii="宋体" w:hAnsi="宋体" w:cs="宋体" w:eastAsiaTheme="minorEastAsia"/>
                <w:spacing w:val="-4"/>
                <w:sz w:val="18"/>
                <w:szCs w:val="18"/>
                <w:lang w:eastAsia="zh-Hans"/>
              </w:rPr>
              <w:t>、</w:t>
            </w:r>
            <w:r>
              <w:rPr>
                <w:rFonts w:hint="eastAsia" w:ascii="宋体" w:hAnsi="宋体" w:cs="宋体" w:eastAsiaTheme="minorEastAsia"/>
                <w:spacing w:val="-4"/>
                <w:sz w:val="18"/>
                <w:szCs w:val="18"/>
              </w:rPr>
              <w:t>显金</w:t>
            </w:r>
          </w:p>
        </w:tc>
        <w:tc>
          <w:tcPr>
            <w:tcW w:w="798" w:type="dxa"/>
            <w:vAlign w:val="center"/>
          </w:tcPr>
          <w:p>
            <w:pPr>
              <w:spacing w:before="64" w:line="221" w:lineRule="auto"/>
              <w:jc w:val="center"/>
              <w:rPr>
                <w:rFonts w:ascii="宋体" w:hAnsi="宋体" w:cs="宋体" w:eastAsiaTheme="minorEastAsia"/>
                <w:spacing w:val="-4"/>
                <w:sz w:val="18"/>
                <w:szCs w:val="18"/>
              </w:rPr>
            </w:pPr>
            <w:r>
              <w:rPr>
                <w:rFonts w:hint="eastAsia" w:ascii="宋体" w:hAnsi="宋体" w:cs="宋体" w:eastAsiaTheme="minorEastAsia"/>
                <w:spacing w:val="-4"/>
                <w:sz w:val="18"/>
                <w:szCs w:val="18"/>
              </w:rPr>
              <w:t>匀整</w:t>
            </w:r>
          </w:p>
        </w:tc>
        <w:tc>
          <w:tcPr>
            <w:tcW w:w="855" w:type="dxa"/>
            <w:vAlign w:val="center"/>
          </w:tcPr>
          <w:p>
            <w:pPr>
              <w:spacing w:before="64" w:line="221" w:lineRule="auto"/>
              <w:jc w:val="center"/>
              <w:rPr>
                <w:rFonts w:ascii="宋体" w:hAnsi="宋体" w:cs="宋体" w:eastAsiaTheme="minorEastAsia"/>
                <w:spacing w:val="-4"/>
                <w:sz w:val="18"/>
                <w:szCs w:val="18"/>
              </w:rPr>
            </w:pPr>
            <w:r>
              <w:rPr>
                <w:rFonts w:ascii="宋体" w:hAnsi="宋体" w:cs="宋体" w:eastAsiaTheme="minorEastAsia"/>
                <w:spacing w:val="-4"/>
                <w:sz w:val="18"/>
                <w:szCs w:val="18"/>
              </w:rPr>
              <w:t>匀净</w:t>
            </w:r>
          </w:p>
        </w:tc>
        <w:tc>
          <w:tcPr>
            <w:tcW w:w="992" w:type="dxa"/>
            <w:vAlign w:val="center"/>
          </w:tcPr>
          <w:p>
            <w:pPr>
              <w:spacing w:before="64" w:line="221" w:lineRule="auto"/>
              <w:jc w:val="center"/>
              <w:rPr>
                <w:rFonts w:ascii="宋体" w:hAnsi="宋体" w:cs="宋体" w:eastAsiaTheme="minorEastAsia"/>
                <w:spacing w:val="-4"/>
                <w:sz w:val="18"/>
                <w:szCs w:val="18"/>
              </w:rPr>
            </w:pPr>
            <w:r>
              <w:rPr>
                <w:rFonts w:hint="eastAsia" w:ascii="宋体" w:hAnsi="宋体" w:cs="宋体" w:eastAsiaTheme="minorEastAsia"/>
                <w:spacing w:val="-4"/>
                <w:sz w:val="18"/>
                <w:szCs w:val="18"/>
              </w:rPr>
              <w:t>栗</w:t>
            </w:r>
            <w:r>
              <w:rPr>
                <w:rFonts w:ascii="宋体" w:hAnsi="宋体" w:cs="宋体" w:eastAsiaTheme="minorEastAsia"/>
                <w:spacing w:val="-4"/>
                <w:sz w:val="18"/>
                <w:szCs w:val="18"/>
              </w:rPr>
              <w:t>香</w:t>
            </w:r>
          </w:p>
        </w:tc>
        <w:tc>
          <w:tcPr>
            <w:tcW w:w="992" w:type="dxa"/>
            <w:vAlign w:val="center"/>
          </w:tcPr>
          <w:p>
            <w:pPr>
              <w:spacing w:before="64" w:line="221" w:lineRule="auto"/>
              <w:jc w:val="center"/>
              <w:rPr>
                <w:rFonts w:ascii="宋体" w:hAnsi="宋体" w:cs="宋体" w:eastAsiaTheme="minorEastAsia"/>
                <w:spacing w:val="-4"/>
                <w:sz w:val="18"/>
                <w:szCs w:val="18"/>
              </w:rPr>
            </w:pPr>
            <w:r>
              <w:rPr>
                <w:rFonts w:hint="eastAsia" w:ascii="宋体" w:hAnsi="宋体" w:cs="宋体" w:eastAsiaTheme="minorEastAsia"/>
                <w:spacing w:val="-4"/>
                <w:sz w:val="18"/>
                <w:szCs w:val="18"/>
              </w:rPr>
              <w:t>嫩绿明亮</w:t>
            </w:r>
          </w:p>
        </w:tc>
        <w:tc>
          <w:tcPr>
            <w:tcW w:w="992" w:type="dxa"/>
            <w:vAlign w:val="center"/>
          </w:tcPr>
          <w:p>
            <w:pPr>
              <w:spacing w:before="64" w:line="221" w:lineRule="auto"/>
              <w:jc w:val="center"/>
              <w:rPr>
                <w:rFonts w:ascii="宋体" w:hAnsi="宋体" w:cs="宋体" w:eastAsiaTheme="minorEastAsia"/>
                <w:spacing w:val="-4"/>
                <w:sz w:val="18"/>
                <w:szCs w:val="18"/>
              </w:rPr>
            </w:pPr>
            <w:r>
              <w:rPr>
                <w:rFonts w:hint="eastAsia" w:ascii="宋体" w:hAnsi="宋体" w:cs="宋体" w:eastAsiaTheme="minorEastAsia"/>
                <w:spacing w:val="-4"/>
                <w:sz w:val="18"/>
                <w:szCs w:val="18"/>
              </w:rPr>
              <w:t>鲜醇</w:t>
            </w:r>
          </w:p>
        </w:tc>
        <w:tc>
          <w:tcPr>
            <w:tcW w:w="1843" w:type="dxa"/>
          </w:tcPr>
          <w:p>
            <w:pPr>
              <w:spacing w:before="64" w:line="221" w:lineRule="auto"/>
              <w:jc w:val="center"/>
              <w:rPr>
                <w:rFonts w:ascii="宋体" w:hAnsi="宋体" w:cs="宋体" w:eastAsiaTheme="minorEastAsia"/>
                <w:spacing w:val="-4"/>
                <w:sz w:val="18"/>
                <w:szCs w:val="18"/>
              </w:rPr>
            </w:pPr>
            <w:r>
              <w:rPr>
                <w:rFonts w:hint="eastAsia" w:ascii="宋体" w:hAnsi="宋体" w:cs="宋体" w:eastAsiaTheme="minorEastAsia"/>
                <w:spacing w:val="-4"/>
                <w:sz w:val="18"/>
                <w:szCs w:val="18"/>
              </w:rPr>
              <w:t>嫩黄明亮、</w:t>
            </w:r>
            <w:r>
              <w:rPr>
                <w:rFonts w:ascii="宋体" w:hAnsi="宋体" w:cs="宋体" w:eastAsiaTheme="minorEastAsia"/>
                <w:spacing w:val="-4"/>
                <w:sz w:val="18"/>
                <w:szCs w:val="18"/>
              </w:rPr>
              <w:t>茎脉</w:t>
            </w:r>
            <w:r>
              <w:rPr>
                <w:rFonts w:hint="eastAsia" w:ascii="宋体" w:hAnsi="宋体" w:cs="宋体" w:eastAsiaTheme="minorEastAsia"/>
                <w:spacing w:val="-4"/>
                <w:sz w:val="18"/>
                <w:szCs w:val="18"/>
              </w:rPr>
              <w:t>显翠</w:t>
            </w:r>
            <w:r>
              <w:rPr>
                <w:rFonts w:ascii="宋体" w:hAnsi="宋体" w:cs="宋体" w:eastAsiaTheme="minorEastAsia"/>
                <w:spacing w:val="-4"/>
                <w:sz w:val="18"/>
                <w:szCs w:val="18"/>
              </w:rPr>
              <w:t>绿</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8" w:hRule="atLeast"/>
        </w:trPr>
        <w:tc>
          <w:tcPr>
            <w:tcW w:w="760" w:type="dxa"/>
            <w:vAlign w:val="center"/>
          </w:tcPr>
          <w:p>
            <w:pPr>
              <w:spacing w:before="91" w:line="222" w:lineRule="auto"/>
              <w:ind w:left="206"/>
              <w:rPr>
                <w:rFonts w:ascii="宋体" w:hAnsi="宋体" w:cs="宋体" w:eastAsiaTheme="minorEastAsia"/>
                <w:sz w:val="18"/>
                <w:szCs w:val="18"/>
              </w:rPr>
            </w:pPr>
            <w:r>
              <w:rPr>
                <w:rFonts w:ascii="宋体" w:hAnsi="宋体" w:cs="宋体" w:eastAsiaTheme="minorEastAsia"/>
                <w:spacing w:val="-3"/>
                <w:sz w:val="18"/>
                <w:szCs w:val="18"/>
              </w:rPr>
              <w:t>二</w:t>
            </w:r>
            <w:r>
              <w:rPr>
                <w:rFonts w:ascii="宋体" w:hAnsi="宋体" w:cs="宋体" w:eastAsiaTheme="minorEastAsia"/>
                <w:spacing w:val="-2"/>
                <w:sz w:val="18"/>
                <w:szCs w:val="18"/>
              </w:rPr>
              <w:t>级</w:t>
            </w:r>
          </w:p>
        </w:tc>
        <w:tc>
          <w:tcPr>
            <w:tcW w:w="942" w:type="dxa"/>
            <w:vAlign w:val="center"/>
          </w:tcPr>
          <w:p>
            <w:pPr>
              <w:spacing w:before="64" w:line="221" w:lineRule="auto"/>
              <w:jc w:val="center"/>
              <w:rPr>
                <w:rFonts w:ascii="宋体" w:hAnsi="宋体" w:cs="宋体" w:eastAsiaTheme="minorEastAsia"/>
                <w:spacing w:val="-4"/>
                <w:sz w:val="18"/>
                <w:szCs w:val="18"/>
              </w:rPr>
            </w:pPr>
            <w:r>
              <w:rPr>
                <w:rFonts w:hint="eastAsia" w:ascii="宋体" w:hAnsi="宋体" w:cs="宋体" w:eastAsiaTheme="minorEastAsia"/>
                <w:spacing w:val="-4"/>
                <w:sz w:val="18"/>
                <w:szCs w:val="18"/>
              </w:rPr>
              <w:t>尚紧弯曲</w:t>
            </w:r>
          </w:p>
        </w:tc>
        <w:tc>
          <w:tcPr>
            <w:tcW w:w="1328" w:type="dxa"/>
            <w:vAlign w:val="center"/>
          </w:tcPr>
          <w:p>
            <w:pPr>
              <w:spacing w:before="64" w:line="221" w:lineRule="auto"/>
              <w:jc w:val="center"/>
              <w:rPr>
                <w:rFonts w:ascii="宋体" w:hAnsi="宋体" w:cs="宋体" w:eastAsiaTheme="minorEastAsia"/>
                <w:spacing w:val="-4"/>
                <w:sz w:val="18"/>
                <w:szCs w:val="18"/>
              </w:rPr>
            </w:pPr>
            <w:r>
              <w:rPr>
                <w:rFonts w:ascii="宋体" w:hAnsi="宋体" w:cs="宋体" w:eastAsiaTheme="minorEastAsia"/>
                <w:spacing w:val="-4"/>
                <w:sz w:val="18"/>
                <w:szCs w:val="18"/>
              </w:rPr>
              <w:t>绿、尚显金</w:t>
            </w:r>
          </w:p>
        </w:tc>
        <w:tc>
          <w:tcPr>
            <w:tcW w:w="798" w:type="dxa"/>
            <w:vAlign w:val="center"/>
          </w:tcPr>
          <w:p>
            <w:pPr>
              <w:spacing w:before="64" w:line="221" w:lineRule="auto"/>
              <w:jc w:val="center"/>
              <w:rPr>
                <w:rFonts w:ascii="宋体" w:hAnsi="宋体" w:cs="宋体" w:eastAsiaTheme="minorEastAsia"/>
                <w:spacing w:val="-4"/>
                <w:sz w:val="18"/>
                <w:szCs w:val="18"/>
              </w:rPr>
            </w:pPr>
            <w:r>
              <w:rPr>
                <w:rFonts w:hint="eastAsia" w:ascii="宋体" w:hAnsi="宋体" w:cs="宋体" w:eastAsiaTheme="minorEastAsia"/>
                <w:spacing w:val="-4"/>
                <w:sz w:val="18"/>
                <w:szCs w:val="18"/>
              </w:rPr>
              <w:t>匀尚整</w:t>
            </w:r>
          </w:p>
        </w:tc>
        <w:tc>
          <w:tcPr>
            <w:tcW w:w="855" w:type="dxa"/>
            <w:vAlign w:val="center"/>
          </w:tcPr>
          <w:p>
            <w:pPr>
              <w:spacing w:before="64" w:line="221" w:lineRule="auto"/>
              <w:jc w:val="center"/>
              <w:rPr>
                <w:rFonts w:ascii="宋体" w:hAnsi="宋体" w:cs="宋体" w:eastAsiaTheme="minorEastAsia"/>
                <w:spacing w:val="-4"/>
                <w:sz w:val="18"/>
                <w:szCs w:val="18"/>
              </w:rPr>
            </w:pPr>
            <w:r>
              <w:rPr>
                <w:rFonts w:ascii="宋体" w:hAnsi="宋体" w:cs="宋体" w:eastAsiaTheme="minorEastAsia"/>
                <w:spacing w:val="-4"/>
                <w:sz w:val="18"/>
                <w:szCs w:val="18"/>
              </w:rPr>
              <w:t>匀净</w:t>
            </w:r>
          </w:p>
        </w:tc>
        <w:tc>
          <w:tcPr>
            <w:tcW w:w="992" w:type="dxa"/>
            <w:vAlign w:val="center"/>
          </w:tcPr>
          <w:p>
            <w:pPr>
              <w:spacing w:before="64" w:line="221" w:lineRule="auto"/>
              <w:jc w:val="center"/>
              <w:rPr>
                <w:rFonts w:ascii="宋体" w:hAnsi="宋体" w:cs="宋体" w:eastAsiaTheme="minorEastAsia"/>
                <w:spacing w:val="-4"/>
                <w:sz w:val="18"/>
                <w:szCs w:val="18"/>
              </w:rPr>
            </w:pPr>
            <w:r>
              <w:rPr>
                <w:rFonts w:hint="eastAsia" w:ascii="宋体" w:hAnsi="宋体" w:cs="宋体" w:eastAsiaTheme="minorEastAsia"/>
                <w:spacing w:val="-4"/>
                <w:sz w:val="18"/>
                <w:szCs w:val="18"/>
              </w:rPr>
              <w:t>栗</w:t>
            </w:r>
            <w:r>
              <w:rPr>
                <w:rFonts w:ascii="宋体" w:hAnsi="宋体" w:cs="宋体" w:eastAsiaTheme="minorEastAsia"/>
                <w:spacing w:val="-4"/>
                <w:sz w:val="18"/>
                <w:szCs w:val="18"/>
              </w:rPr>
              <w:t>香</w:t>
            </w:r>
          </w:p>
        </w:tc>
        <w:tc>
          <w:tcPr>
            <w:tcW w:w="992" w:type="dxa"/>
            <w:vAlign w:val="center"/>
          </w:tcPr>
          <w:p>
            <w:pPr>
              <w:spacing w:before="64" w:line="221" w:lineRule="auto"/>
              <w:jc w:val="center"/>
              <w:rPr>
                <w:rFonts w:ascii="宋体" w:hAnsi="宋体" w:cs="宋体" w:eastAsiaTheme="minorEastAsia"/>
                <w:spacing w:val="-4"/>
                <w:sz w:val="18"/>
                <w:szCs w:val="18"/>
              </w:rPr>
            </w:pPr>
            <w:r>
              <w:rPr>
                <w:rFonts w:ascii="宋体" w:hAnsi="宋体" w:cs="宋体" w:eastAsiaTheme="minorEastAsia"/>
                <w:spacing w:val="-4"/>
                <w:sz w:val="18"/>
                <w:szCs w:val="18"/>
              </w:rPr>
              <w:t>黄</w:t>
            </w:r>
            <w:r>
              <w:rPr>
                <w:rFonts w:hint="eastAsia" w:ascii="宋体" w:hAnsi="宋体" w:cs="宋体" w:eastAsiaTheme="minorEastAsia"/>
                <w:spacing w:val="-4"/>
                <w:sz w:val="18"/>
                <w:szCs w:val="18"/>
              </w:rPr>
              <w:t>绿明亮</w:t>
            </w:r>
          </w:p>
        </w:tc>
        <w:tc>
          <w:tcPr>
            <w:tcW w:w="992" w:type="dxa"/>
            <w:vAlign w:val="center"/>
          </w:tcPr>
          <w:p>
            <w:pPr>
              <w:spacing w:before="64" w:line="221" w:lineRule="auto"/>
              <w:jc w:val="center"/>
              <w:rPr>
                <w:rFonts w:ascii="宋体" w:hAnsi="宋体" w:cs="宋体" w:eastAsiaTheme="minorEastAsia"/>
                <w:spacing w:val="-4"/>
                <w:sz w:val="18"/>
                <w:szCs w:val="18"/>
              </w:rPr>
            </w:pPr>
            <w:r>
              <w:rPr>
                <w:rFonts w:hint="eastAsia" w:ascii="宋体" w:hAnsi="宋体" w:cs="宋体" w:eastAsiaTheme="minorEastAsia"/>
                <w:spacing w:val="-4"/>
                <w:sz w:val="18"/>
                <w:szCs w:val="18"/>
              </w:rPr>
              <w:t>鲜尚醇</w:t>
            </w:r>
          </w:p>
        </w:tc>
        <w:tc>
          <w:tcPr>
            <w:tcW w:w="1843" w:type="dxa"/>
          </w:tcPr>
          <w:p>
            <w:pPr>
              <w:spacing w:before="64" w:line="221" w:lineRule="auto"/>
              <w:ind w:left="351"/>
              <w:rPr>
                <w:rFonts w:ascii="宋体" w:hAnsi="宋体" w:cs="宋体" w:eastAsiaTheme="minorEastAsia"/>
                <w:spacing w:val="-4"/>
                <w:sz w:val="18"/>
                <w:szCs w:val="18"/>
              </w:rPr>
            </w:pPr>
            <w:r>
              <w:rPr>
                <w:rFonts w:ascii="宋体" w:hAnsi="宋体" w:cs="宋体" w:eastAsiaTheme="minorEastAsia"/>
                <w:spacing w:val="-4"/>
                <w:sz w:val="18"/>
                <w:szCs w:val="18"/>
              </w:rPr>
              <w:t>黄</w:t>
            </w:r>
            <w:r>
              <w:rPr>
                <w:rFonts w:hint="eastAsia" w:ascii="宋体" w:hAnsi="宋体" w:cs="宋体" w:eastAsiaTheme="minorEastAsia"/>
                <w:spacing w:val="-4"/>
                <w:sz w:val="18"/>
                <w:szCs w:val="18"/>
              </w:rPr>
              <w:t>绿明</w:t>
            </w:r>
            <w:r>
              <w:rPr>
                <w:rFonts w:ascii="宋体" w:hAnsi="宋体" w:cs="宋体" w:eastAsiaTheme="minorEastAsia"/>
                <w:spacing w:val="-4"/>
                <w:sz w:val="18"/>
                <w:szCs w:val="18"/>
              </w:rPr>
              <w:t>亮、脉绿</w:t>
            </w:r>
          </w:p>
        </w:tc>
      </w:tr>
    </w:tbl>
    <w:p>
      <w:pPr>
        <w:pStyle w:val="105"/>
        <w:spacing w:before="156" w:after="156"/>
      </w:pPr>
      <w:r>
        <w:t>理化指标</w:t>
      </w:r>
    </w:p>
    <w:p>
      <w:pPr>
        <w:pStyle w:val="56"/>
        <w:ind w:firstLine="420"/>
      </w:pPr>
      <w:r>
        <w:t>理化指标要求应符合</w:t>
      </w:r>
      <w:bookmarkStart w:id="56" w:name="OLE_LINK16"/>
      <w:r>
        <w:t>表</w:t>
      </w:r>
      <w:r>
        <w:rPr>
          <w:rFonts w:hint="eastAsia"/>
        </w:rPr>
        <w:t>3</w:t>
      </w:r>
      <w:r>
        <w:t>的规定。</w:t>
      </w:r>
    </w:p>
    <w:p>
      <w:pPr>
        <w:pStyle w:val="112"/>
        <w:spacing w:before="156" w:after="156"/>
      </w:pPr>
      <w:r>
        <w:t>理化指标要求</w:t>
      </w:r>
    </w:p>
    <w:tbl>
      <w:tblPr>
        <w:tblStyle w:val="230"/>
        <w:tblW w:w="6017" w:type="dxa"/>
        <w:tblInd w:w="184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686"/>
        <w:gridCol w:w="42"/>
        <w:gridCol w:w="2289"/>
      </w:tblGrid>
      <w:tr>
        <w:trPr>
          <w:trHeight w:val="323" w:hRule="atLeast"/>
        </w:trPr>
        <w:tc>
          <w:tcPr>
            <w:tcW w:w="3728" w:type="dxa"/>
            <w:gridSpan w:val="2"/>
          </w:tcPr>
          <w:p>
            <w:pPr>
              <w:spacing w:before="70" w:line="221" w:lineRule="auto"/>
              <w:jc w:val="center"/>
              <w:rPr>
                <w:rFonts w:ascii="宋体" w:hAnsi="宋体" w:cs="宋体" w:eastAsiaTheme="minorEastAsia"/>
                <w:sz w:val="18"/>
                <w:szCs w:val="18"/>
              </w:rPr>
            </w:pPr>
            <w:r>
              <w:rPr>
                <w:rFonts w:ascii="宋体" w:hAnsi="宋体" w:cs="宋体" w:eastAsiaTheme="minorEastAsia"/>
                <w:spacing w:val="7"/>
                <w:sz w:val="18"/>
                <w:szCs w:val="18"/>
              </w:rPr>
              <w:t>项</w:t>
            </w:r>
            <w:r>
              <w:rPr>
                <w:rFonts w:ascii="宋体" w:hAnsi="宋体" w:cs="宋体" w:eastAsiaTheme="minorEastAsia"/>
                <w:spacing w:val="5"/>
                <w:sz w:val="18"/>
                <w:szCs w:val="18"/>
              </w:rPr>
              <w:t xml:space="preserve">     目</w:t>
            </w:r>
          </w:p>
        </w:tc>
        <w:tc>
          <w:tcPr>
            <w:tcW w:w="2289" w:type="dxa"/>
            <w:vAlign w:val="center"/>
          </w:tcPr>
          <w:p>
            <w:pPr>
              <w:spacing w:before="70" w:line="221" w:lineRule="auto"/>
              <w:jc w:val="center"/>
              <w:rPr>
                <w:rFonts w:ascii="宋体" w:hAnsi="宋体" w:cs="宋体" w:eastAsiaTheme="minorEastAsia"/>
                <w:sz w:val="18"/>
                <w:szCs w:val="18"/>
              </w:rPr>
            </w:pPr>
            <w:r>
              <w:rPr>
                <w:rFonts w:ascii="宋体" w:hAnsi="宋体" w:cs="宋体" w:eastAsiaTheme="minorEastAsia"/>
                <w:spacing w:val="9"/>
                <w:sz w:val="18"/>
                <w:szCs w:val="18"/>
              </w:rPr>
              <w:t>指</w:t>
            </w:r>
            <w:r>
              <w:rPr>
                <w:rFonts w:ascii="宋体" w:hAnsi="宋体" w:cs="宋体" w:eastAsiaTheme="minorEastAsia"/>
                <w:spacing w:val="7"/>
                <w:sz w:val="18"/>
                <w:szCs w:val="18"/>
              </w:rPr>
              <w:t xml:space="preserve">   标</w:t>
            </w:r>
          </w:p>
        </w:tc>
      </w:tr>
      <w:tr>
        <w:trPr>
          <w:trHeight w:val="316" w:hRule="atLeast"/>
        </w:trPr>
        <w:tc>
          <w:tcPr>
            <w:tcW w:w="3686" w:type="dxa"/>
            <w:tcBorders>
              <w:right w:val="nil"/>
            </w:tcBorders>
          </w:tcPr>
          <w:p>
            <w:pPr>
              <w:spacing w:before="89" w:line="223" w:lineRule="auto"/>
              <w:ind w:left="203"/>
              <w:jc w:val="center"/>
              <w:rPr>
                <w:rFonts w:ascii="宋体" w:hAnsi="宋体" w:cs="宋体" w:eastAsiaTheme="minorEastAsia"/>
                <w:spacing w:val="-2"/>
                <w:sz w:val="18"/>
                <w:szCs w:val="18"/>
              </w:rPr>
            </w:pPr>
            <w:r>
              <w:rPr>
                <w:rFonts w:ascii="宋体" w:hAnsi="宋体" w:cs="宋体" w:eastAsiaTheme="minorEastAsia"/>
                <w:spacing w:val="-2"/>
                <w:sz w:val="18"/>
                <w:szCs w:val="18"/>
              </w:rPr>
              <w:t>水分</w:t>
            </w:r>
            <w:r>
              <w:rPr>
                <w:rFonts w:hint="eastAsia" w:ascii="宋体" w:hAnsi="宋体" w:cs="宋体" w:eastAsiaTheme="minorEastAsia"/>
                <w:spacing w:val="-2"/>
                <w:sz w:val="18"/>
                <w:szCs w:val="18"/>
              </w:rPr>
              <w:t>(质量分数)/%</w:t>
            </w:r>
          </w:p>
        </w:tc>
        <w:tc>
          <w:tcPr>
            <w:tcW w:w="42" w:type="dxa"/>
            <w:tcBorders>
              <w:left w:val="nil"/>
            </w:tcBorders>
          </w:tcPr>
          <w:p>
            <w:pPr>
              <w:spacing w:before="89" w:line="237" w:lineRule="auto"/>
              <w:ind w:left="203"/>
              <w:jc w:val="center"/>
              <w:rPr>
                <w:rFonts w:ascii="宋体" w:hAnsi="宋体" w:cs="宋体" w:eastAsiaTheme="minorEastAsia"/>
                <w:spacing w:val="-2"/>
                <w:sz w:val="18"/>
                <w:szCs w:val="18"/>
              </w:rPr>
            </w:pPr>
            <w:r>
              <w:rPr>
                <w:rFonts w:ascii="宋体" w:hAnsi="宋体" w:cs="宋体" w:eastAsiaTheme="minorEastAsia"/>
                <w:spacing w:val="-2"/>
                <w:sz w:val="18"/>
                <w:szCs w:val="18"/>
              </w:rPr>
              <w:t>≤</w:t>
            </w:r>
          </w:p>
        </w:tc>
        <w:tc>
          <w:tcPr>
            <w:tcW w:w="2289" w:type="dxa"/>
            <w:vAlign w:val="center"/>
          </w:tcPr>
          <w:p>
            <w:pPr>
              <w:spacing w:before="89" w:line="182" w:lineRule="auto"/>
              <w:ind w:left="203"/>
              <w:jc w:val="center"/>
              <w:rPr>
                <w:rFonts w:ascii="宋体" w:hAnsi="宋体" w:cs="宋体" w:eastAsiaTheme="minorEastAsia"/>
                <w:spacing w:val="-2"/>
                <w:sz w:val="18"/>
                <w:szCs w:val="18"/>
              </w:rPr>
            </w:pPr>
            <w:r>
              <w:rPr>
                <w:rFonts w:hint="eastAsia" w:ascii="宋体" w:hAnsi="宋体" w:cs="宋体" w:eastAsiaTheme="minorEastAsia"/>
                <w:spacing w:val="-2"/>
                <w:sz w:val="18"/>
                <w:szCs w:val="18"/>
              </w:rPr>
              <w:t>≤</w:t>
            </w:r>
            <w:r>
              <w:rPr>
                <w:rFonts w:ascii="宋体" w:hAnsi="宋体" w:cs="宋体" w:eastAsiaTheme="minorEastAsia"/>
                <w:spacing w:val="-2"/>
                <w:sz w:val="18"/>
                <w:szCs w:val="18"/>
              </w:rPr>
              <w:t>6</w:t>
            </w:r>
            <w:r>
              <w:rPr>
                <w:rFonts w:hint="eastAsia" w:ascii="宋体" w:hAnsi="宋体" w:cs="宋体" w:eastAsiaTheme="minorEastAsia"/>
                <w:spacing w:val="-2"/>
                <w:sz w:val="18"/>
                <w:szCs w:val="18"/>
              </w:rPr>
              <w:t>.</w:t>
            </w:r>
            <w:r>
              <w:rPr>
                <w:rFonts w:ascii="宋体" w:hAnsi="宋体" w:cs="宋体" w:eastAsiaTheme="minorEastAsia"/>
                <w:spacing w:val="-2"/>
                <w:sz w:val="18"/>
                <w:szCs w:val="18"/>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15" w:hRule="atLeast"/>
        </w:trPr>
        <w:tc>
          <w:tcPr>
            <w:tcW w:w="3686" w:type="dxa"/>
            <w:tcBorders>
              <w:right w:val="nil"/>
            </w:tcBorders>
          </w:tcPr>
          <w:p>
            <w:pPr>
              <w:spacing w:before="89" w:line="223" w:lineRule="auto"/>
              <w:ind w:left="203"/>
              <w:jc w:val="center"/>
              <w:rPr>
                <w:rFonts w:ascii="宋体" w:hAnsi="宋体" w:cs="宋体" w:eastAsiaTheme="minorEastAsia"/>
                <w:spacing w:val="-2"/>
                <w:sz w:val="18"/>
                <w:szCs w:val="18"/>
              </w:rPr>
            </w:pPr>
            <w:r>
              <w:rPr>
                <w:rFonts w:ascii="宋体" w:hAnsi="宋体" w:cs="宋体" w:eastAsiaTheme="minorEastAsia"/>
                <w:spacing w:val="-2"/>
                <w:sz w:val="18"/>
                <w:szCs w:val="18"/>
              </w:rPr>
              <w:t>总灰分</w:t>
            </w:r>
            <w:r>
              <w:rPr>
                <w:rFonts w:hint="eastAsia" w:ascii="宋体" w:hAnsi="宋体" w:cs="宋体" w:eastAsiaTheme="minorEastAsia"/>
                <w:spacing w:val="-2"/>
                <w:sz w:val="18"/>
                <w:szCs w:val="18"/>
              </w:rPr>
              <w:t>(质量分数)/%</w:t>
            </w:r>
          </w:p>
        </w:tc>
        <w:tc>
          <w:tcPr>
            <w:tcW w:w="42" w:type="dxa"/>
            <w:tcBorders>
              <w:left w:val="nil"/>
            </w:tcBorders>
          </w:tcPr>
          <w:p>
            <w:pPr>
              <w:spacing w:before="89" w:line="237" w:lineRule="auto"/>
              <w:ind w:left="203"/>
              <w:jc w:val="center"/>
              <w:rPr>
                <w:rFonts w:ascii="宋体" w:hAnsi="宋体" w:cs="宋体" w:eastAsiaTheme="minorEastAsia"/>
                <w:spacing w:val="-2"/>
                <w:sz w:val="18"/>
                <w:szCs w:val="18"/>
              </w:rPr>
            </w:pPr>
            <w:r>
              <w:rPr>
                <w:rFonts w:ascii="宋体" w:hAnsi="宋体" w:cs="宋体" w:eastAsiaTheme="minorEastAsia"/>
                <w:spacing w:val="-2"/>
                <w:sz w:val="18"/>
                <w:szCs w:val="18"/>
              </w:rPr>
              <w:t>≤</w:t>
            </w:r>
          </w:p>
        </w:tc>
        <w:tc>
          <w:tcPr>
            <w:tcW w:w="2289" w:type="dxa"/>
            <w:vAlign w:val="center"/>
          </w:tcPr>
          <w:p>
            <w:pPr>
              <w:spacing w:before="89" w:line="182" w:lineRule="auto"/>
              <w:ind w:left="203"/>
              <w:jc w:val="center"/>
              <w:rPr>
                <w:rFonts w:ascii="宋体" w:hAnsi="宋体" w:cs="宋体" w:eastAsiaTheme="minorEastAsia"/>
                <w:spacing w:val="-2"/>
                <w:sz w:val="18"/>
                <w:szCs w:val="18"/>
              </w:rPr>
            </w:pPr>
            <w:r>
              <w:rPr>
                <w:rFonts w:hint="eastAsia" w:ascii="宋体" w:hAnsi="宋体" w:cs="宋体" w:eastAsiaTheme="minorEastAsia"/>
                <w:spacing w:val="-2"/>
                <w:sz w:val="18"/>
                <w:szCs w:val="18"/>
              </w:rPr>
              <w:t>≤</w:t>
            </w:r>
            <w:r>
              <w:rPr>
                <w:rFonts w:ascii="宋体" w:hAnsi="宋体" w:cs="宋体" w:eastAsiaTheme="minorEastAsia"/>
                <w:spacing w:val="-2"/>
                <w:sz w:val="18"/>
                <w:szCs w:val="18"/>
              </w:rPr>
              <w:t>7</w:t>
            </w:r>
            <w:r>
              <w:rPr>
                <w:rFonts w:hint="eastAsia" w:ascii="宋体" w:hAnsi="宋体" w:cs="宋体" w:eastAsiaTheme="minorEastAsia"/>
                <w:spacing w:val="-2"/>
                <w:sz w:val="18"/>
                <w:szCs w:val="18"/>
              </w:rPr>
              <w:t>.</w:t>
            </w:r>
            <w:r>
              <w:rPr>
                <w:rFonts w:ascii="宋体" w:hAnsi="宋体" w:cs="宋体" w:eastAsiaTheme="minorEastAsia"/>
                <w:spacing w:val="-2"/>
                <w:sz w:val="18"/>
                <w:szCs w:val="18"/>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16" w:hRule="atLeast"/>
        </w:trPr>
        <w:tc>
          <w:tcPr>
            <w:tcW w:w="3686" w:type="dxa"/>
            <w:tcBorders>
              <w:right w:val="nil"/>
            </w:tcBorders>
          </w:tcPr>
          <w:p>
            <w:pPr>
              <w:spacing w:before="89" w:line="223" w:lineRule="auto"/>
              <w:ind w:left="203"/>
              <w:jc w:val="center"/>
              <w:rPr>
                <w:rFonts w:ascii="宋体" w:hAnsi="宋体" w:cs="宋体" w:eastAsiaTheme="minorEastAsia"/>
                <w:spacing w:val="-2"/>
                <w:sz w:val="18"/>
                <w:szCs w:val="18"/>
              </w:rPr>
            </w:pPr>
            <w:r>
              <w:rPr>
                <w:rFonts w:ascii="宋体" w:hAnsi="宋体" w:cs="宋体" w:eastAsiaTheme="minorEastAsia"/>
                <w:spacing w:val="-2"/>
                <w:sz w:val="18"/>
                <w:szCs w:val="18"/>
              </w:rPr>
              <w:t>水浸出物</w:t>
            </w:r>
            <w:r>
              <w:rPr>
                <w:rFonts w:hint="eastAsia" w:ascii="宋体" w:hAnsi="宋体" w:cs="宋体" w:eastAsiaTheme="minorEastAsia"/>
                <w:spacing w:val="-2"/>
                <w:sz w:val="18"/>
                <w:szCs w:val="18"/>
              </w:rPr>
              <w:t>(质量分数)/%</w:t>
            </w:r>
          </w:p>
        </w:tc>
        <w:tc>
          <w:tcPr>
            <w:tcW w:w="42" w:type="dxa"/>
            <w:tcBorders>
              <w:left w:val="nil"/>
            </w:tcBorders>
          </w:tcPr>
          <w:p>
            <w:pPr>
              <w:spacing w:before="89" w:line="238" w:lineRule="auto"/>
              <w:ind w:left="203"/>
              <w:jc w:val="center"/>
              <w:rPr>
                <w:rFonts w:ascii="宋体" w:hAnsi="宋体" w:cs="宋体" w:eastAsiaTheme="minorEastAsia"/>
                <w:spacing w:val="-2"/>
                <w:sz w:val="18"/>
                <w:szCs w:val="18"/>
              </w:rPr>
            </w:pPr>
            <w:r>
              <w:rPr>
                <w:rFonts w:ascii="宋体" w:hAnsi="宋体" w:cs="宋体" w:eastAsiaTheme="minorEastAsia"/>
                <w:spacing w:val="-2"/>
                <w:sz w:val="18"/>
                <w:szCs w:val="18"/>
              </w:rPr>
              <w:t>≥</w:t>
            </w:r>
          </w:p>
        </w:tc>
        <w:tc>
          <w:tcPr>
            <w:tcW w:w="2289" w:type="dxa"/>
            <w:vAlign w:val="center"/>
          </w:tcPr>
          <w:p>
            <w:pPr>
              <w:jc w:val="center"/>
              <w:rPr>
                <w:rFonts w:ascii="宋体" w:hAnsi="宋体" w:cs="宋体" w:eastAsiaTheme="minorEastAsia"/>
                <w:spacing w:val="-2"/>
                <w:sz w:val="18"/>
                <w:szCs w:val="18"/>
              </w:rPr>
            </w:pPr>
            <w:r>
              <w:rPr>
                <w:rFonts w:hint="eastAsia" w:ascii="宋体" w:hAnsi="宋体" w:cs="宋体" w:eastAsiaTheme="minorEastAsia"/>
                <w:spacing w:val="-2"/>
                <w:sz w:val="18"/>
                <w:szCs w:val="18"/>
              </w:rPr>
              <w:t>≥</w:t>
            </w:r>
            <w:r>
              <w:rPr>
                <w:rFonts w:ascii="宋体" w:hAnsi="宋体" w:cs="宋体" w:eastAsiaTheme="minorEastAsia"/>
                <w:spacing w:val="-2"/>
                <w:sz w:val="18"/>
                <w:szCs w:val="18"/>
              </w:rPr>
              <w:t>36</w:t>
            </w:r>
            <w:r>
              <w:rPr>
                <w:rFonts w:hint="eastAsia" w:ascii="宋体" w:hAnsi="宋体" w:cs="宋体" w:eastAsiaTheme="minorEastAsia"/>
                <w:spacing w:val="-2"/>
                <w:sz w:val="18"/>
                <w:szCs w:val="18"/>
              </w:rPr>
              <w:t>.</w:t>
            </w:r>
            <w:r>
              <w:rPr>
                <w:rFonts w:ascii="宋体" w:hAnsi="宋体" w:cs="宋体" w:eastAsiaTheme="minorEastAsia"/>
                <w:spacing w:val="-2"/>
                <w:sz w:val="18"/>
                <w:szCs w:val="18"/>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20" w:hRule="atLeast"/>
        </w:trPr>
        <w:tc>
          <w:tcPr>
            <w:tcW w:w="3686" w:type="dxa"/>
            <w:tcBorders>
              <w:right w:val="nil"/>
            </w:tcBorders>
          </w:tcPr>
          <w:p>
            <w:pPr>
              <w:spacing w:before="89" w:line="223" w:lineRule="auto"/>
              <w:ind w:left="203"/>
              <w:jc w:val="center"/>
              <w:rPr>
                <w:rFonts w:ascii="宋体" w:hAnsi="宋体" w:cs="宋体" w:eastAsiaTheme="minorEastAsia"/>
                <w:spacing w:val="-2"/>
                <w:sz w:val="18"/>
                <w:szCs w:val="18"/>
              </w:rPr>
            </w:pPr>
            <w:r>
              <w:rPr>
                <w:rFonts w:ascii="宋体" w:hAnsi="宋体" w:cs="宋体" w:eastAsiaTheme="minorEastAsia"/>
                <w:spacing w:val="-2"/>
                <w:sz w:val="18"/>
                <w:szCs w:val="18"/>
              </w:rPr>
              <w:t>粉末</w:t>
            </w:r>
            <w:r>
              <w:rPr>
                <w:rFonts w:hint="eastAsia" w:ascii="宋体" w:hAnsi="宋体" w:cs="宋体" w:eastAsiaTheme="minorEastAsia"/>
                <w:spacing w:val="-2"/>
                <w:sz w:val="18"/>
                <w:szCs w:val="18"/>
              </w:rPr>
              <w:t>(质量分数)/%</w:t>
            </w:r>
          </w:p>
        </w:tc>
        <w:tc>
          <w:tcPr>
            <w:tcW w:w="42" w:type="dxa"/>
            <w:tcBorders>
              <w:left w:val="nil"/>
            </w:tcBorders>
          </w:tcPr>
          <w:p>
            <w:pPr>
              <w:spacing w:before="89" w:line="237" w:lineRule="auto"/>
              <w:ind w:left="203"/>
              <w:jc w:val="center"/>
              <w:rPr>
                <w:rFonts w:ascii="宋体" w:hAnsi="宋体" w:cs="宋体" w:eastAsiaTheme="minorEastAsia"/>
                <w:spacing w:val="-2"/>
                <w:sz w:val="18"/>
                <w:szCs w:val="18"/>
              </w:rPr>
            </w:pPr>
            <w:r>
              <w:rPr>
                <w:rFonts w:ascii="宋体" w:hAnsi="宋体" w:cs="宋体" w:eastAsiaTheme="minorEastAsia"/>
                <w:spacing w:val="-2"/>
                <w:sz w:val="18"/>
                <w:szCs w:val="18"/>
              </w:rPr>
              <w:t>≤</w:t>
            </w:r>
          </w:p>
        </w:tc>
        <w:tc>
          <w:tcPr>
            <w:tcW w:w="2289" w:type="dxa"/>
            <w:vAlign w:val="center"/>
          </w:tcPr>
          <w:p>
            <w:pPr>
              <w:spacing w:before="89" w:line="182" w:lineRule="auto"/>
              <w:ind w:left="203"/>
              <w:jc w:val="center"/>
              <w:rPr>
                <w:rFonts w:ascii="宋体" w:hAnsi="宋体" w:cs="宋体" w:eastAsiaTheme="minorEastAsia"/>
                <w:color w:val="FF0000"/>
                <w:spacing w:val="-2"/>
                <w:sz w:val="18"/>
                <w:szCs w:val="18"/>
              </w:rPr>
            </w:pPr>
            <w:r>
              <w:rPr>
                <w:rFonts w:hint="eastAsia" w:ascii="宋体" w:hAnsi="宋体" w:cs="宋体" w:eastAsiaTheme="minorEastAsia"/>
                <w:spacing w:val="-2"/>
                <w:sz w:val="18"/>
                <w:szCs w:val="18"/>
              </w:rPr>
              <w:t>≤1.</w:t>
            </w:r>
            <w:r>
              <w:rPr>
                <w:rFonts w:ascii="宋体" w:hAnsi="宋体" w:cs="宋体" w:eastAsiaTheme="minorEastAsia"/>
                <w:spacing w:val="-2"/>
                <w:sz w:val="18"/>
                <w:szCs w:val="18"/>
              </w:rPr>
              <w:t>0</w:t>
            </w:r>
          </w:p>
        </w:tc>
      </w:tr>
    </w:tbl>
    <w:p>
      <w:pPr>
        <w:pStyle w:val="105"/>
        <w:spacing w:before="156" w:after="156"/>
      </w:pPr>
      <w:r>
        <w:t>食品安全指标</w:t>
      </w:r>
    </w:p>
    <w:p>
      <w:pPr>
        <w:pStyle w:val="165"/>
      </w:pPr>
      <w:r>
        <w:rPr>
          <w:rFonts w:hint="eastAsia"/>
        </w:rPr>
        <w:t>污染物</w:t>
      </w:r>
      <w:r>
        <w:t>限量应符合GB 2762的规定</w:t>
      </w:r>
      <w:r>
        <w:rPr>
          <w:rFonts w:hint="eastAsia"/>
        </w:rPr>
        <w:t>。</w:t>
      </w:r>
    </w:p>
    <w:p>
      <w:pPr>
        <w:pStyle w:val="165"/>
      </w:pPr>
      <w:r>
        <w:t>农药残留限量应符合GB 2763的规定。</w:t>
      </w:r>
      <w:bookmarkEnd w:id="56"/>
    </w:p>
    <w:p>
      <w:pPr>
        <w:pStyle w:val="105"/>
        <w:spacing w:before="156" w:after="156"/>
      </w:pPr>
      <w:r>
        <w:rPr>
          <w:rFonts w:hint="eastAsia"/>
        </w:rPr>
        <w:t>净含量</w:t>
      </w:r>
    </w:p>
    <w:p>
      <w:pPr>
        <w:pStyle w:val="56"/>
        <w:ind w:firstLine="420"/>
        <w:rPr>
          <w:highlight w:val="none"/>
        </w:rPr>
      </w:pPr>
      <w:r>
        <w:rPr>
          <w:rFonts w:hint="eastAsia"/>
          <w:highlight w:val="none"/>
          <w:lang w:val="en-US" w:eastAsia="zh-Hans"/>
        </w:rPr>
        <w:t>按</w:t>
      </w:r>
      <w:r>
        <w:rPr>
          <w:rFonts w:hint="eastAsia"/>
          <w:highlight w:val="none"/>
        </w:rPr>
        <w:t>《</w:t>
      </w:r>
      <w:bookmarkStart w:id="57" w:name="OLE_LINK6"/>
      <w:bookmarkStart w:id="58" w:name="OLE_LINK7"/>
      <w:r>
        <w:rPr>
          <w:rFonts w:hint="eastAsia"/>
          <w:highlight w:val="none"/>
        </w:rPr>
        <w:t>定量包装商品计量监督管理办法</w:t>
      </w:r>
      <w:bookmarkEnd w:id="57"/>
      <w:bookmarkEnd w:id="58"/>
      <w:r>
        <w:rPr>
          <w:rFonts w:hint="eastAsia"/>
          <w:highlight w:val="none"/>
        </w:rPr>
        <w:t>》</w:t>
      </w:r>
      <w:r>
        <w:rPr>
          <w:rFonts w:hint="eastAsia"/>
          <w:highlight w:val="none"/>
          <w:lang w:val="en-US" w:eastAsia="zh-Hans"/>
        </w:rPr>
        <w:t>和</w:t>
      </w:r>
      <w:r>
        <w:rPr>
          <w:rFonts w:hint="default"/>
          <w:highlight w:val="none"/>
          <w:lang w:eastAsia="zh-Hans"/>
        </w:rPr>
        <w:t xml:space="preserve"> </w:t>
      </w:r>
      <w:r>
        <w:rPr>
          <w:rFonts w:hint="eastAsia"/>
          <w:highlight w:val="none"/>
          <w:lang w:val="en-US" w:eastAsia="zh-Hans"/>
        </w:rPr>
        <w:t>JJF 1070定量包装商品净含量计量检验规则</w:t>
      </w:r>
      <w:r>
        <w:rPr>
          <w:rFonts w:hint="eastAsia"/>
          <w:highlight w:val="none"/>
        </w:rPr>
        <w:t>相关规定执行。</w:t>
      </w:r>
    </w:p>
    <w:p>
      <w:pPr>
        <w:pStyle w:val="104"/>
        <w:spacing w:before="312" w:after="312"/>
      </w:pPr>
      <w:bookmarkStart w:id="59" w:name="OLE_LINK17"/>
      <w:r>
        <w:t>试验方法</w:t>
      </w:r>
    </w:p>
    <w:p>
      <w:pPr>
        <w:pStyle w:val="105"/>
        <w:spacing w:before="156" w:after="156"/>
      </w:pPr>
      <w:r>
        <w:t>取样、备样</w:t>
      </w:r>
    </w:p>
    <w:p>
      <w:pPr>
        <w:pStyle w:val="165"/>
      </w:pPr>
      <w:r>
        <w:t>取样按 GB/T 8302 的规定执行。</w:t>
      </w:r>
    </w:p>
    <w:p>
      <w:pPr>
        <w:pStyle w:val="165"/>
      </w:pPr>
      <w:r>
        <w:t>样品制备按 GB/T 8303 的规定执行。</w:t>
      </w:r>
    </w:p>
    <w:p>
      <w:pPr>
        <w:pStyle w:val="105"/>
        <w:spacing w:before="156" w:after="156"/>
      </w:pPr>
      <w:r>
        <w:t>感官指标</w:t>
      </w:r>
    </w:p>
    <w:p>
      <w:pPr>
        <w:pStyle w:val="56"/>
        <w:ind w:firstLine="420"/>
      </w:pPr>
      <w:r>
        <w:t>感官指标按GB/T 14487和GB/T 23776的规定执行。</w:t>
      </w:r>
    </w:p>
    <w:p>
      <w:pPr>
        <w:pStyle w:val="105"/>
        <w:spacing w:before="156" w:after="156"/>
      </w:pPr>
      <w:r>
        <w:t>理化指标</w:t>
      </w:r>
    </w:p>
    <w:p>
      <w:pPr>
        <w:pStyle w:val="165"/>
      </w:pPr>
      <w:r>
        <w:t>水分的检测按 GB</w:t>
      </w:r>
      <w:r>
        <w:rPr>
          <w:rFonts w:hint="eastAsia"/>
        </w:rPr>
        <w:t xml:space="preserve"> 5009.3</w:t>
      </w:r>
      <w:r>
        <w:t xml:space="preserve"> 的规定执行。</w:t>
      </w:r>
    </w:p>
    <w:p>
      <w:pPr>
        <w:pStyle w:val="165"/>
      </w:pPr>
      <w:r>
        <w:t>总灰分的检测按 GB</w:t>
      </w:r>
      <w:r>
        <w:rPr>
          <w:rFonts w:hint="eastAsia"/>
        </w:rPr>
        <w:t xml:space="preserve"> 5009.4</w:t>
      </w:r>
      <w:r>
        <w:t>的规定执行。</w:t>
      </w:r>
    </w:p>
    <w:p>
      <w:pPr>
        <w:pStyle w:val="165"/>
      </w:pPr>
      <w:r>
        <w:t>水浸出物的检测按 GB/T 8305 的规定执行。</w:t>
      </w:r>
    </w:p>
    <w:p>
      <w:pPr>
        <w:pStyle w:val="165"/>
      </w:pPr>
      <w:r>
        <w:rPr>
          <w:rFonts w:hint="eastAsia"/>
          <w:lang w:val="en-US" w:eastAsia="zh-Hans"/>
        </w:rPr>
        <w:t>粉</w:t>
      </w:r>
      <w:r>
        <w:t>末的检测按GB/T 8311 的规定执行。</w:t>
      </w:r>
      <w:bookmarkEnd w:id="59"/>
    </w:p>
    <w:p>
      <w:pPr>
        <w:pStyle w:val="104"/>
        <w:spacing w:before="312" w:after="312"/>
      </w:pPr>
      <w:bookmarkStart w:id="60" w:name="OLE_LINK19"/>
      <w:bookmarkStart w:id="61" w:name="OLE_LINK18"/>
      <w:r>
        <w:t>检验规则</w:t>
      </w:r>
    </w:p>
    <w:p>
      <w:pPr>
        <w:pStyle w:val="105"/>
        <w:spacing w:before="156" w:after="156"/>
      </w:pPr>
      <w:r>
        <w:t>检验分类</w:t>
      </w:r>
    </w:p>
    <w:p>
      <w:pPr>
        <w:pStyle w:val="56"/>
        <w:ind w:firstLine="420"/>
      </w:pPr>
      <w:r>
        <w:t>分为出厂检验和型式检验。</w:t>
      </w:r>
    </w:p>
    <w:p>
      <w:pPr>
        <w:pStyle w:val="105"/>
        <w:spacing w:before="156" w:after="156"/>
      </w:pPr>
      <w:r>
        <w:t>组批</w:t>
      </w:r>
    </w:p>
    <w:p>
      <w:pPr>
        <w:pStyle w:val="56"/>
        <w:ind w:firstLine="420"/>
      </w:pPr>
      <w:r>
        <w:t>以同期加工、同一级别、同一规格的产品为一批，同批产品的品质规格和包装应一致。</w:t>
      </w:r>
    </w:p>
    <w:bookmarkEnd w:id="60"/>
    <w:bookmarkEnd w:id="61"/>
    <w:p>
      <w:pPr>
        <w:pStyle w:val="105"/>
        <w:spacing w:before="156" w:after="156"/>
      </w:pPr>
      <w:r>
        <w:t>抽样</w:t>
      </w:r>
    </w:p>
    <w:p>
      <w:pPr>
        <w:pStyle w:val="56"/>
        <w:ind w:firstLine="420"/>
      </w:pPr>
      <w:r>
        <w:t>按GB/T 8302的规定执行。</w:t>
      </w:r>
    </w:p>
    <w:p>
      <w:pPr>
        <w:pStyle w:val="105"/>
        <w:spacing w:before="156" w:after="156"/>
      </w:pPr>
      <w:r>
        <w:t>出厂检验</w:t>
      </w:r>
    </w:p>
    <w:p>
      <w:pPr>
        <w:pStyle w:val="165"/>
      </w:pPr>
      <w:r>
        <w:t>检验项目包括感官指标、水分、净含量。</w:t>
      </w:r>
    </w:p>
    <w:p>
      <w:pPr>
        <w:pStyle w:val="165"/>
      </w:pPr>
      <w:r>
        <w:t>产品须经厂质检部门检验合格后签发产品质量合格证，方可出厂。</w:t>
      </w:r>
    </w:p>
    <w:p>
      <w:pPr>
        <w:pStyle w:val="105"/>
        <w:spacing w:before="156" w:after="156"/>
      </w:pPr>
      <w:r>
        <w:t>型式检验</w:t>
      </w:r>
    </w:p>
    <w:p>
      <w:pPr>
        <w:pStyle w:val="165"/>
      </w:pPr>
      <w:r>
        <w:t>型式检验的样品应在出厂检验合格的产品中随机抽取。</w:t>
      </w:r>
    </w:p>
    <w:p>
      <w:pPr>
        <w:pStyle w:val="165"/>
        <w:rPr>
          <w:highlight w:val="none"/>
        </w:rPr>
      </w:pPr>
      <w:r>
        <w:rPr>
          <w:highlight w:val="none"/>
        </w:rPr>
        <w:t>型式检验项目为本</w:t>
      </w:r>
      <w:r>
        <w:rPr>
          <w:rFonts w:hint="eastAsia"/>
          <w:highlight w:val="none"/>
        </w:rPr>
        <w:t>文件</w:t>
      </w:r>
      <w:r>
        <w:rPr>
          <w:highlight w:val="none"/>
        </w:rPr>
        <w:t>第5章规定的全部项目。</w:t>
      </w:r>
    </w:p>
    <w:p>
      <w:pPr>
        <w:pStyle w:val="165"/>
      </w:pPr>
      <w:r>
        <w:t>有下列情况之一时，应进行型式检验：</w:t>
      </w:r>
    </w:p>
    <w:p>
      <w:pPr>
        <w:pStyle w:val="174"/>
        <w:numPr>
          <w:ilvl w:val="0"/>
          <w:numId w:val="32"/>
        </w:numPr>
      </w:pPr>
      <w:r>
        <w:t>正常生产时每年进行一次；</w:t>
      </w:r>
    </w:p>
    <w:p>
      <w:pPr>
        <w:pStyle w:val="174"/>
      </w:pPr>
      <w:r>
        <w:t>加工原料、工艺、机具有较大改变，可能影响产品质量时；</w:t>
      </w:r>
    </w:p>
    <w:p>
      <w:pPr>
        <w:pStyle w:val="174"/>
      </w:pPr>
      <w:r>
        <w:t>两次检验结果差异较大时；</w:t>
      </w:r>
    </w:p>
    <w:p>
      <w:pPr>
        <w:pStyle w:val="174"/>
      </w:pPr>
      <w:r>
        <w:t>法定监管部门提出型式检验要求时。</w:t>
      </w:r>
    </w:p>
    <w:p>
      <w:pPr>
        <w:pStyle w:val="105"/>
        <w:spacing w:before="156" w:after="156"/>
      </w:pPr>
      <w:r>
        <w:t>判定规则</w:t>
      </w:r>
    </w:p>
    <w:p>
      <w:pPr>
        <w:pStyle w:val="165"/>
      </w:pPr>
      <w:r>
        <w:t>凡劣变，有异味的产品，均判定该批产品为不合格或该次型式检验不合格。</w:t>
      </w:r>
    </w:p>
    <w:p>
      <w:pPr>
        <w:pStyle w:val="165"/>
        <w:rPr>
          <w:rFonts w:hAnsi="宋体" w:cs="宋体"/>
        </w:rPr>
      </w:pPr>
      <w:r>
        <w:t>产品经检验如有理化指标不合格或感官指标经综合判定后不合格，可从同批产品中加倍抽样对</w:t>
      </w:r>
      <w:r>
        <w:rPr>
          <w:rFonts w:hAnsi="宋体" w:cs="宋体"/>
          <w:spacing w:val="-4"/>
        </w:rPr>
        <w:t>不合格项进行复验，复</w:t>
      </w:r>
      <w:r>
        <w:rPr>
          <w:rFonts w:hAnsi="宋体" w:cs="宋体"/>
          <w:spacing w:val="-2"/>
        </w:rPr>
        <w:t>验结果如仍有不合格项，则判定该批产品为不合格或该次型式检验不合格。</w:t>
      </w:r>
    </w:p>
    <w:p>
      <w:pPr>
        <w:pStyle w:val="104"/>
        <w:spacing w:before="312" w:after="312"/>
      </w:pPr>
      <w:bookmarkStart w:id="62" w:name="OLE_LINK20"/>
      <w:bookmarkStart w:id="63" w:name="OLE_LINK21"/>
      <w:r>
        <w:t>标志、包装</w:t>
      </w:r>
    </w:p>
    <w:p>
      <w:pPr>
        <w:pStyle w:val="105"/>
        <w:spacing w:before="156" w:after="156"/>
      </w:pPr>
      <w:r>
        <w:t>标志</w:t>
      </w:r>
    </w:p>
    <w:p>
      <w:pPr>
        <w:pStyle w:val="165"/>
      </w:pPr>
      <w:r>
        <w:t>产品标签应符合GB 7718的有关规定。</w:t>
      </w:r>
    </w:p>
    <w:p>
      <w:pPr>
        <w:pStyle w:val="165"/>
      </w:pPr>
      <w:r>
        <w:t>包装储运图示标志应符合GB/T 191的规定。</w:t>
      </w:r>
    </w:p>
    <w:p>
      <w:pPr>
        <w:pStyle w:val="105"/>
        <w:spacing w:before="156" w:after="156"/>
      </w:pPr>
      <w:r>
        <w:t>包装</w:t>
      </w:r>
    </w:p>
    <w:p>
      <w:pPr>
        <w:pStyle w:val="165"/>
      </w:pPr>
      <w:r>
        <w:t>包装容器应用干燥、清洁、无异味及不影响茶叶品质的材料制成，接触茶叶的内包装材料应符合GH/T 1070和食品包装卫生标准的规定。</w:t>
      </w:r>
    </w:p>
    <w:p>
      <w:pPr>
        <w:pStyle w:val="165"/>
      </w:pPr>
      <w:r>
        <w:t>包装应牢固，能保护茶叶品质，便于携带、贮存和运输。</w:t>
      </w:r>
    </w:p>
    <w:p>
      <w:pPr>
        <w:pStyle w:val="165"/>
      </w:pPr>
      <w:r>
        <w:rPr>
          <w:rFonts w:hint="eastAsia"/>
        </w:rPr>
        <w:t>产品销售包装应符合GB 23350的规定。</w:t>
      </w:r>
      <w:bookmarkEnd w:id="62"/>
      <w:bookmarkEnd w:id="63"/>
    </w:p>
    <w:p>
      <w:pPr>
        <w:pStyle w:val="104"/>
        <w:spacing w:before="312" w:after="312"/>
      </w:pPr>
      <w:bookmarkStart w:id="64" w:name="OLE_LINK22"/>
      <w:bookmarkStart w:id="65" w:name="OLE_LINK23"/>
      <w:r>
        <w:t>运输、贮存</w:t>
      </w:r>
    </w:p>
    <w:p>
      <w:pPr>
        <w:pStyle w:val="105"/>
        <w:spacing w:before="156" w:after="156"/>
      </w:pPr>
      <w:r>
        <w:t>运输</w:t>
      </w:r>
    </w:p>
    <w:p>
      <w:pPr>
        <w:pStyle w:val="56"/>
        <w:ind w:firstLine="420"/>
        <w:rPr>
          <w:highlight w:val="none"/>
        </w:rPr>
      </w:pPr>
      <w:r>
        <w:rPr>
          <w:highlight w:val="none"/>
        </w:rPr>
        <w:t>运输工具应清洁、卫生、干燥，无异味、无污染；运输时应防雨、防潮、防曝晒；装卸时轻放轻卸</w:t>
      </w:r>
      <w:r>
        <w:rPr>
          <w:spacing w:val="-2"/>
          <w:highlight w:val="none"/>
        </w:rPr>
        <w:t>，</w:t>
      </w:r>
      <w:r>
        <w:rPr>
          <w:spacing w:val="-1"/>
          <w:highlight w:val="none"/>
        </w:rPr>
        <w:t>不甩、掷、</w:t>
      </w:r>
      <w:r>
        <w:rPr>
          <w:highlight w:val="none"/>
        </w:rPr>
        <w:t>碰撞；</w:t>
      </w:r>
      <w:r>
        <w:rPr>
          <w:rFonts w:hint="eastAsia"/>
          <w:highlight w:val="none"/>
        </w:rPr>
        <w:t>不应</w:t>
      </w:r>
      <w:r>
        <w:rPr>
          <w:highlight w:val="none"/>
        </w:rPr>
        <w:t>与有毒、有害、有异味、易污染的物品混装混运。</w:t>
      </w:r>
    </w:p>
    <w:p>
      <w:pPr>
        <w:pStyle w:val="105"/>
        <w:spacing w:before="156" w:after="156"/>
        <w:rPr>
          <w:highlight w:val="none"/>
        </w:rPr>
      </w:pPr>
      <w:r>
        <w:rPr>
          <w:highlight w:val="none"/>
        </w:rPr>
        <w:t>贮存</w:t>
      </w:r>
    </w:p>
    <w:p>
      <w:pPr>
        <w:pStyle w:val="56"/>
        <w:ind w:firstLine="404"/>
        <w:rPr>
          <w:highlight w:val="none"/>
        </w:rPr>
      </w:pPr>
      <w:r>
        <w:rPr>
          <w:spacing w:val="-4"/>
          <w:highlight w:val="none"/>
        </w:rPr>
        <w:t>产品应密封保存</w:t>
      </w:r>
      <w:r>
        <w:rPr>
          <w:rFonts w:hint="eastAsia"/>
          <w:spacing w:val="-4"/>
          <w:highlight w:val="none"/>
        </w:rPr>
        <w:t>，</w:t>
      </w:r>
      <w:r>
        <w:rPr>
          <w:spacing w:val="-4"/>
          <w:highlight w:val="none"/>
        </w:rPr>
        <w:t>贮存于低</w:t>
      </w:r>
      <w:r>
        <w:rPr>
          <w:highlight w:val="none"/>
        </w:rPr>
        <w:t>温、干燥、清洁、无异味的专用仓库内。</w:t>
      </w:r>
      <w:r>
        <w:rPr>
          <w:rFonts w:hint="eastAsia"/>
          <w:highlight w:val="none"/>
        </w:rPr>
        <w:t>不应</w:t>
      </w:r>
      <w:r>
        <w:rPr>
          <w:highlight w:val="none"/>
        </w:rPr>
        <w:t>与有毒、有害、有异味、易污染的物</w:t>
      </w:r>
      <w:r>
        <w:rPr>
          <w:spacing w:val="-10"/>
          <w:highlight w:val="none"/>
        </w:rPr>
        <w:t>品</w:t>
      </w:r>
      <w:r>
        <w:rPr>
          <w:spacing w:val="-6"/>
          <w:highlight w:val="none"/>
        </w:rPr>
        <w:t>混</w:t>
      </w:r>
      <w:r>
        <w:rPr>
          <w:spacing w:val="-5"/>
          <w:highlight w:val="none"/>
        </w:rPr>
        <w:t>存混放，注意通风干燥、低温，</w:t>
      </w:r>
      <w:r>
        <w:rPr>
          <w:rFonts w:hint="eastAsia"/>
          <w:highlight w:val="none"/>
        </w:rPr>
        <w:t>不应</w:t>
      </w:r>
      <w:r>
        <w:rPr>
          <w:spacing w:val="-5"/>
          <w:highlight w:val="none"/>
        </w:rPr>
        <w:t>阳光直射。</w:t>
      </w:r>
    </w:p>
    <w:bookmarkEnd w:id="64"/>
    <w:bookmarkEnd w:id="65"/>
    <w:p>
      <w:pPr>
        <w:pStyle w:val="76"/>
        <w:numPr>
          <w:ilvl w:val="0"/>
          <w:numId w:val="0"/>
        </w:numPr>
        <w:spacing w:after="156"/>
        <w:jc w:val="both"/>
      </w:pPr>
    </w:p>
    <w:bookmarkEnd w:id="26"/>
    <w:p>
      <w:pPr>
        <w:pStyle w:val="56"/>
        <w:ind w:firstLine="420"/>
        <w:sectPr>
          <w:pgSz w:w="11906" w:h="16838"/>
          <w:pgMar w:top="1928" w:right="1134" w:bottom="1134" w:left="1134" w:header="1418" w:footer="1134" w:gutter="284"/>
          <w:cols w:space="425" w:num="1"/>
          <w:formProt w:val="0"/>
          <w:docGrid w:type="lines" w:linePitch="312" w:charSpace="0"/>
        </w:sectPr>
      </w:pPr>
      <w:bookmarkStart w:id="66" w:name="BookMark6"/>
    </w:p>
    <w:p>
      <w:pPr>
        <w:pStyle w:val="63"/>
        <w:spacing w:after="156"/>
      </w:pPr>
      <w:r>
        <w:rPr>
          <w:rFonts w:hint="eastAsia"/>
          <w:spacing w:val="105"/>
        </w:rPr>
        <w:t>参考文</w:t>
      </w:r>
      <w:r>
        <w:rPr>
          <w:rFonts w:hint="eastAsia"/>
        </w:rPr>
        <w:t>献</w:t>
      </w:r>
    </w:p>
    <w:p>
      <w:pPr>
        <w:pStyle w:val="56"/>
        <w:ind w:firstLine="420"/>
        <w:rPr>
          <w:highlight w:val="none"/>
        </w:rPr>
      </w:pPr>
      <w:r>
        <w:rPr>
          <w:rFonts w:hint="eastAsia"/>
          <w:highlight w:val="none"/>
        </w:rPr>
        <w:t>[1] 国家市场监督管理总局 《定量包装商品计量监督管理办法》</w:t>
      </w:r>
    </w:p>
    <w:p>
      <w:pPr>
        <w:pStyle w:val="56"/>
        <w:ind w:firstLine="420"/>
      </w:pPr>
    </w:p>
    <w:bookmarkEnd w:id="66"/>
    <w:p>
      <w:pPr>
        <w:pStyle w:val="56"/>
        <w:ind w:firstLine="0" w:firstLineChars="0"/>
        <w:jc w:val="center"/>
      </w:pPr>
      <w:bookmarkStart w:id="67" w:name="BookMark8"/>
      <w:r>
        <w:drawing>
          <wp:inline distT="0" distB="0" distL="0" distR="0">
            <wp:extent cx="1485900" cy="31750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6"/>
                    <a:stretch>
                      <a:fillRect/>
                    </a:stretch>
                  </pic:blipFill>
                  <pic:spPr>
                    <a:xfrm>
                      <a:off x="0" y="0"/>
                      <a:ext cx="1485900" cy="317500"/>
                    </a:xfrm>
                    <a:prstGeom prst="rect">
                      <a:avLst/>
                    </a:prstGeom>
                  </pic:spPr>
                </pic:pic>
              </a:graphicData>
            </a:graphic>
          </wp:inline>
        </w:drawing>
      </w:r>
      <w:bookmarkEnd w:id="67"/>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 w:name="等线 Light">
    <w:altName w:val="汉仪中等线KW"/>
    <w:panose1 w:val="02010600030101010101"/>
    <w:charset w:val="86"/>
    <w:family w:val="auto"/>
    <w:pitch w:val="default"/>
    <w:sig w:usb0="00000000" w:usb1="00000000" w:usb2="00000016" w:usb3="00000000" w:csb0="0004000F" w:csb1="00000000"/>
  </w:font>
  <w:font w:name="冬青黑体简体中文">
    <w:panose1 w:val="020B0300000000000000"/>
    <w:charset w:val="86"/>
    <w:family w:val="auto"/>
    <w:pitch w:val="default"/>
    <w:sig w:usb0="00000000" w:usb1="00000000" w:usb2="00000000" w:usb3="00000000" w:csb0="00160000" w:csb1="00000000"/>
  </w:font>
  <w:font w:name="等线">
    <w:altName w:val="汉仪中等线K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32/T 1264—2024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instrText xml:space="preserve"> STYLEREF  标准文件_文件编号  \* MERGEFORMAT </w:instrText>
    </w:r>
    <w:r>
      <w:fldChar w:fldCharType="separate"/>
    </w:r>
    <w:r>
      <w:t>DB 32/T 1264—2024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8"/>
  <w:bordersDoNotSurroundHeader w:val="1"/>
  <w:bordersDoNotSurroundFooter w:val="1"/>
  <w:documentProtection w:edit="forms" w:enforcement="1" w:cryptProviderType="rsaAES" w:cryptAlgorithmClass="hash" w:cryptAlgorithmType="typeAny" w:cryptAlgorithmSid="14" w:cryptSpinCount="100000" w:hash="g6g2kXZ8AI91TKlBE08gTl4svPJIsAkEjr/Cr1aP48JgTJMCTVqXOLnn8eSTkUcQV6tXRSgVSomajK40fRdmig==" w:salt="6/0nkx0jVaQ0trwnKYSYv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JlODNjNDY2OGI2MjM1M2QyODEwM2IxNGFkZmMwNDgifQ=="/>
  </w:docVars>
  <w:rsids>
    <w:rsidRoot w:val="00FA406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0B7"/>
    <w:rsid w:val="00047F28"/>
    <w:rsid w:val="000503AA"/>
    <w:rsid w:val="000506A1"/>
    <w:rsid w:val="00050DA6"/>
    <w:rsid w:val="000515DD"/>
    <w:rsid w:val="00051A61"/>
    <w:rsid w:val="0005265A"/>
    <w:rsid w:val="000539DD"/>
    <w:rsid w:val="00053BD3"/>
    <w:rsid w:val="000556ED"/>
    <w:rsid w:val="00055FE2"/>
    <w:rsid w:val="0005616F"/>
    <w:rsid w:val="00060C2E"/>
    <w:rsid w:val="00061033"/>
    <w:rsid w:val="000619E9"/>
    <w:rsid w:val="000622D4"/>
    <w:rsid w:val="0006357D"/>
    <w:rsid w:val="00067F1E"/>
    <w:rsid w:val="00071CC0"/>
    <w:rsid w:val="00072479"/>
    <w:rsid w:val="00073C8C"/>
    <w:rsid w:val="00074F04"/>
    <w:rsid w:val="00077B64"/>
    <w:rsid w:val="00080A1C"/>
    <w:rsid w:val="00082317"/>
    <w:rsid w:val="000837CF"/>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254C"/>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3B7"/>
    <w:rsid w:val="00157894"/>
    <w:rsid w:val="00157B55"/>
    <w:rsid w:val="00164276"/>
    <w:rsid w:val="001642FA"/>
    <w:rsid w:val="001649EB"/>
    <w:rsid w:val="00164BAF"/>
    <w:rsid w:val="00164FA8"/>
    <w:rsid w:val="00165065"/>
    <w:rsid w:val="00165434"/>
    <w:rsid w:val="0016580B"/>
    <w:rsid w:val="00165F49"/>
    <w:rsid w:val="00166B88"/>
    <w:rsid w:val="0016770A"/>
    <w:rsid w:val="0017027F"/>
    <w:rsid w:val="00170804"/>
    <w:rsid w:val="001708E9"/>
    <w:rsid w:val="0017340B"/>
    <w:rsid w:val="00173FB1"/>
    <w:rsid w:val="00176DFD"/>
    <w:rsid w:val="001852C9"/>
    <w:rsid w:val="0018563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03D0"/>
    <w:rsid w:val="001E1B6A"/>
    <w:rsid w:val="001E2484"/>
    <w:rsid w:val="001E3CC4"/>
    <w:rsid w:val="001E4882"/>
    <w:rsid w:val="001E73AB"/>
    <w:rsid w:val="001F092D"/>
    <w:rsid w:val="001F143A"/>
    <w:rsid w:val="001F1605"/>
    <w:rsid w:val="001F24B0"/>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4EC6"/>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B40"/>
    <w:rsid w:val="002C3F07"/>
    <w:rsid w:val="002C5278"/>
    <w:rsid w:val="002C6E5F"/>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27A7D"/>
    <w:rsid w:val="003331E4"/>
    <w:rsid w:val="00336C64"/>
    <w:rsid w:val="00337162"/>
    <w:rsid w:val="0034194F"/>
    <w:rsid w:val="00344605"/>
    <w:rsid w:val="003474AA"/>
    <w:rsid w:val="00350D1D"/>
    <w:rsid w:val="0035298D"/>
    <w:rsid w:val="00352C83"/>
    <w:rsid w:val="003615D2"/>
    <w:rsid w:val="00361E06"/>
    <w:rsid w:val="0036429C"/>
    <w:rsid w:val="00364A53"/>
    <w:rsid w:val="003654CB"/>
    <w:rsid w:val="00365AA9"/>
    <w:rsid w:val="00365F86"/>
    <w:rsid w:val="00365F87"/>
    <w:rsid w:val="00366E89"/>
    <w:rsid w:val="0036759A"/>
    <w:rsid w:val="003705F4"/>
    <w:rsid w:val="00370827"/>
    <w:rsid w:val="00370D58"/>
    <w:rsid w:val="00371316"/>
    <w:rsid w:val="00376713"/>
    <w:rsid w:val="003778DE"/>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18CD"/>
    <w:rsid w:val="0041477A"/>
    <w:rsid w:val="004167A3"/>
    <w:rsid w:val="00430728"/>
    <w:rsid w:val="004308E7"/>
    <w:rsid w:val="00431D92"/>
    <w:rsid w:val="00432DAA"/>
    <w:rsid w:val="00434305"/>
    <w:rsid w:val="00435DF7"/>
    <w:rsid w:val="0043750B"/>
    <w:rsid w:val="0044083F"/>
    <w:rsid w:val="00441AE7"/>
    <w:rsid w:val="00445574"/>
    <w:rsid w:val="004467FB"/>
    <w:rsid w:val="00452D6B"/>
    <w:rsid w:val="00454484"/>
    <w:rsid w:val="0045517B"/>
    <w:rsid w:val="004553BA"/>
    <w:rsid w:val="004631F5"/>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5317"/>
    <w:rsid w:val="004C1FBC"/>
    <w:rsid w:val="004C3F1D"/>
    <w:rsid w:val="004C458D"/>
    <w:rsid w:val="004C7556"/>
    <w:rsid w:val="004C7E8B"/>
    <w:rsid w:val="004C7E9D"/>
    <w:rsid w:val="004C7F67"/>
    <w:rsid w:val="004D076D"/>
    <w:rsid w:val="004D0EF1"/>
    <w:rsid w:val="004D1443"/>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0716"/>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535C"/>
    <w:rsid w:val="005479DA"/>
    <w:rsid w:val="00547BCC"/>
    <w:rsid w:val="0055013B"/>
    <w:rsid w:val="00551F6F"/>
    <w:rsid w:val="005530B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324F"/>
    <w:rsid w:val="005A4A1B"/>
    <w:rsid w:val="005A7830"/>
    <w:rsid w:val="005A7FCE"/>
    <w:rsid w:val="005B0F3F"/>
    <w:rsid w:val="005B3000"/>
    <w:rsid w:val="005B4903"/>
    <w:rsid w:val="005B51CE"/>
    <w:rsid w:val="005B5885"/>
    <w:rsid w:val="005B5CD7"/>
    <w:rsid w:val="005B6CF6"/>
    <w:rsid w:val="005B7422"/>
    <w:rsid w:val="005C29B8"/>
    <w:rsid w:val="005C5F21"/>
    <w:rsid w:val="005C7156"/>
    <w:rsid w:val="005D0C75"/>
    <w:rsid w:val="005D10F0"/>
    <w:rsid w:val="005D4171"/>
    <w:rsid w:val="005D6A95"/>
    <w:rsid w:val="005D6B2C"/>
    <w:rsid w:val="005D6D9C"/>
    <w:rsid w:val="005E2335"/>
    <w:rsid w:val="005E34CA"/>
    <w:rsid w:val="005E3C18"/>
    <w:rsid w:val="005E6812"/>
    <w:rsid w:val="005E7881"/>
    <w:rsid w:val="005E78E0"/>
    <w:rsid w:val="005F0D9C"/>
    <w:rsid w:val="005F284E"/>
    <w:rsid w:val="005F4712"/>
    <w:rsid w:val="005F540A"/>
    <w:rsid w:val="006015CE"/>
    <w:rsid w:val="00604784"/>
    <w:rsid w:val="00606419"/>
    <w:rsid w:val="00607D29"/>
    <w:rsid w:val="00612952"/>
    <w:rsid w:val="00614CC1"/>
    <w:rsid w:val="00615A9D"/>
    <w:rsid w:val="00617387"/>
    <w:rsid w:val="00617935"/>
    <w:rsid w:val="006205D6"/>
    <w:rsid w:val="006252D8"/>
    <w:rsid w:val="006259BC"/>
    <w:rsid w:val="0062636B"/>
    <w:rsid w:val="00630A3F"/>
    <w:rsid w:val="00632182"/>
    <w:rsid w:val="00632AE0"/>
    <w:rsid w:val="00633C17"/>
    <w:rsid w:val="00634D9E"/>
    <w:rsid w:val="00636E3E"/>
    <w:rsid w:val="006379F7"/>
    <w:rsid w:val="00637E4D"/>
    <w:rsid w:val="00640620"/>
    <w:rsid w:val="00641A1F"/>
    <w:rsid w:val="00645904"/>
    <w:rsid w:val="00651ACB"/>
    <w:rsid w:val="00651C47"/>
    <w:rsid w:val="00652AB2"/>
    <w:rsid w:val="00653E8B"/>
    <w:rsid w:val="00653FED"/>
    <w:rsid w:val="00654EC0"/>
    <w:rsid w:val="0065525B"/>
    <w:rsid w:val="00655D4F"/>
    <w:rsid w:val="00656D29"/>
    <w:rsid w:val="00663080"/>
    <w:rsid w:val="006640E5"/>
    <w:rsid w:val="006646F1"/>
    <w:rsid w:val="00664929"/>
    <w:rsid w:val="00664F62"/>
    <w:rsid w:val="006655E1"/>
    <w:rsid w:val="00672060"/>
    <w:rsid w:val="00672BFD"/>
    <w:rsid w:val="006770F4"/>
    <w:rsid w:val="00677A84"/>
    <w:rsid w:val="0068026D"/>
    <w:rsid w:val="00680A27"/>
    <w:rsid w:val="006816A4"/>
    <w:rsid w:val="006819B8"/>
    <w:rsid w:val="006834BE"/>
    <w:rsid w:val="00683AB0"/>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2E64"/>
    <w:rsid w:val="006C5A62"/>
    <w:rsid w:val="006C5D68"/>
    <w:rsid w:val="006C6976"/>
    <w:rsid w:val="006C6DD0"/>
    <w:rsid w:val="006D04EA"/>
    <w:rsid w:val="006D0AB7"/>
    <w:rsid w:val="006D16C4"/>
    <w:rsid w:val="006D3E96"/>
    <w:rsid w:val="006D4515"/>
    <w:rsid w:val="006D4BB1"/>
    <w:rsid w:val="006D5A0F"/>
    <w:rsid w:val="006D6593"/>
    <w:rsid w:val="006E23EA"/>
    <w:rsid w:val="006E735B"/>
    <w:rsid w:val="006F03A8"/>
    <w:rsid w:val="006F2ACA"/>
    <w:rsid w:val="006F2ADC"/>
    <w:rsid w:val="006F2BFE"/>
    <w:rsid w:val="006F31E9"/>
    <w:rsid w:val="006F6284"/>
    <w:rsid w:val="007002C5"/>
    <w:rsid w:val="00704387"/>
    <w:rsid w:val="00707669"/>
    <w:rsid w:val="00707D83"/>
    <w:rsid w:val="00711CBA"/>
    <w:rsid w:val="00711FB5"/>
    <w:rsid w:val="00712A01"/>
    <w:rsid w:val="00714F58"/>
    <w:rsid w:val="00722FBF"/>
    <w:rsid w:val="00722FC2"/>
    <w:rsid w:val="00724879"/>
    <w:rsid w:val="00724E1B"/>
    <w:rsid w:val="00725949"/>
    <w:rsid w:val="00727FA2"/>
    <w:rsid w:val="007322D9"/>
    <w:rsid w:val="00732BC0"/>
    <w:rsid w:val="0073573C"/>
    <w:rsid w:val="0073720F"/>
    <w:rsid w:val="00737796"/>
    <w:rsid w:val="007403D7"/>
    <w:rsid w:val="0074165C"/>
    <w:rsid w:val="00742C35"/>
    <w:rsid w:val="007432CA"/>
    <w:rsid w:val="007439EB"/>
    <w:rsid w:val="00743CB4"/>
    <w:rsid w:val="00743F0A"/>
    <w:rsid w:val="007444E8"/>
    <w:rsid w:val="0074478B"/>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5590"/>
    <w:rsid w:val="007C6069"/>
    <w:rsid w:val="007D06C4"/>
    <w:rsid w:val="007D1352"/>
    <w:rsid w:val="007D2508"/>
    <w:rsid w:val="007D346A"/>
    <w:rsid w:val="007D55EE"/>
    <w:rsid w:val="007D6518"/>
    <w:rsid w:val="007D6EA0"/>
    <w:rsid w:val="007D76BD"/>
    <w:rsid w:val="007E0BF1"/>
    <w:rsid w:val="007F0ED8"/>
    <w:rsid w:val="007F0F63"/>
    <w:rsid w:val="007F635D"/>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2533"/>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84A"/>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7DDB"/>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15DC"/>
    <w:rsid w:val="009245F5"/>
    <w:rsid w:val="009249EC"/>
    <w:rsid w:val="009273B3"/>
    <w:rsid w:val="0092757E"/>
    <w:rsid w:val="009305B5"/>
    <w:rsid w:val="009429D5"/>
    <w:rsid w:val="00942BF1"/>
    <w:rsid w:val="00945180"/>
    <w:rsid w:val="00945428"/>
    <w:rsid w:val="0094562B"/>
    <w:rsid w:val="0094607B"/>
    <w:rsid w:val="00953604"/>
    <w:rsid w:val="0095496B"/>
    <w:rsid w:val="009560EE"/>
    <w:rsid w:val="009574F6"/>
    <w:rsid w:val="009610DC"/>
    <w:rsid w:val="00961490"/>
    <w:rsid w:val="0096381A"/>
    <w:rsid w:val="00965E04"/>
    <w:rsid w:val="00966D5A"/>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624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592E"/>
    <w:rsid w:val="009D6BCA"/>
    <w:rsid w:val="009E0F62"/>
    <w:rsid w:val="009E4A58"/>
    <w:rsid w:val="009E5A2D"/>
    <w:rsid w:val="009E5AB2"/>
    <w:rsid w:val="009E6219"/>
    <w:rsid w:val="009F03B3"/>
    <w:rsid w:val="00A0096C"/>
    <w:rsid w:val="00A01757"/>
    <w:rsid w:val="00A028C0"/>
    <w:rsid w:val="00A02BAE"/>
    <w:rsid w:val="00A06A6B"/>
    <w:rsid w:val="00A07E47"/>
    <w:rsid w:val="00A10485"/>
    <w:rsid w:val="00A129D0"/>
    <w:rsid w:val="00A12C33"/>
    <w:rsid w:val="00A138BA"/>
    <w:rsid w:val="00A14C8E"/>
    <w:rsid w:val="00A153D9"/>
    <w:rsid w:val="00A15F09"/>
    <w:rsid w:val="00A169B6"/>
    <w:rsid w:val="00A2271D"/>
    <w:rsid w:val="00A237D5"/>
    <w:rsid w:val="00A3071B"/>
    <w:rsid w:val="00A30EFC"/>
    <w:rsid w:val="00A31984"/>
    <w:rsid w:val="00A32D73"/>
    <w:rsid w:val="00A3367B"/>
    <w:rsid w:val="00A3516A"/>
    <w:rsid w:val="00A35218"/>
    <w:rsid w:val="00A3597D"/>
    <w:rsid w:val="00A36DD1"/>
    <w:rsid w:val="00A4006C"/>
    <w:rsid w:val="00A40091"/>
    <w:rsid w:val="00A4030F"/>
    <w:rsid w:val="00A41C79"/>
    <w:rsid w:val="00A41CB5"/>
    <w:rsid w:val="00A42C66"/>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2C2E"/>
    <w:rsid w:val="00AA4286"/>
    <w:rsid w:val="00AA456B"/>
    <w:rsid w:val="00AA52FE"/>
    <w:rsid w:val="00AA57F5"/>
    <w:rsid w:val="00AA672E"/>
    <w:rsid w:val="00AA6EC9"/>
    <w:rsid w:val="00AB0162"/>
    <w:rsid w:val="00AB32EA"/>
    <w:rsid w:val="00AB41D5"/>
    <w:rsid w:val="00AB6309"/>
    <w:rsid w:val="00AB6C5F"/>
    <w:rsid w:val="00AB7129"/>
    <w:rsid w:val="00AC27A6"/>
    <w:rsid w:val="00AC30F7"/>
    <w:rsid w:val="00AC3A5A"/>
    <w:rsid w:val="00AC3AA4"/>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51A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04D"/>
    <w:rsid w:val="00B66567"/>
    <w:rsid w:val="00B66A5F"/>
    <w:rsid w:val="00B66F52"/>
    <w:rsid w:val="00B66FE5"/>
    <w:rsid w:val="00B72880"/>
    <w:rsid w:val="00B758BF"/>
    <w:rsid w:val="00B759CB"/>
    <w:rsid w:val="00B77EC8"/>
    <w:rsid w:val="00B77F66"/>
    <w:rsid w:val="00B827A6"/>
    <w:rsid w:val="00B831CE"/>
    <w:rsid w:val="00B86677"/>
    <w:rsid w:val="00B87131"/>
    <w:rsid w:val="00B92CA4"/>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30B5"/>
    <w:rsid w:val="00BD52D7"/>
    <w:rsid w:val="00BD5AD2"/>
    <w:rsid w:val="00BE0837"/>
    <w:rsid w:val="00BE22F3"/>
    <w:rsid w:val="00BE5B52"/>
    <w:rsid w:val="00BE7B8D"/>
    <w:rsid w:val="00BF0993"/>
    <w:rsid w:val="00BF10A9"/>
    <w:rsid w:val="00BF1703"/>
    <w:rsid w:val="00BF231C"/>
    <w:rsid w:val="00BF51E5"/>
    <w:rsid w:val="00BF74A6"/>
    <w:rsid w:val="00C013AD"/>
    <w:rsid w:val="00C03325"/>
    <w:rsid w:val="00C04904"/>
    <w:rsid w:val="00C056B3"/>
    <w:rsid w:val="00C103E5"/>
    <w:rsid w:val="00C13319"/>
    <w:rsid w:val="00C13EE9"/>
    <w:rsid w:val="00C21540"/>
    <w:rsid w:val="00C21906"/>
    <w:rsid w:val="00C21BFA"/>
    <w:rsid w:val="00C22148"/>
    <w:rsid w:val="00C24C8D"/>
    <w:rsid w:val="00C25FE2"/>
    <w:rsid w:val="00C26B53"/>
    <w:rsid w:val="00C279B2"/>
    <w:rsid w:val="00C31C6A"/>
    <w:rsid w:val="00C33E50"/>
    <w:rsid w:val="00C34C20"/>
    <w:rsid w:val="00C35A3E"/>
    <w:rsid w:val="00C42130"/>
    <w:rsid w:val="00C423A4"/>
    <w:rsid w:val="00C44BF5"/>
    <w:rsid w:val="00C46175"/>
    <w:rsid w:val="00C521D6"/>
    <w:rsid w:val="00C55232"/>
    <w:rsid w:val="00C553A4"/>
    <w:rsid w:val="00C55A06"/>
    <w:rsid w:val="00C55D03"/>
    <w:rsid w:val="00C601BC"/>
    <w:rsid w:val="00C6329F"/>
    <w:rsid w:val="00C63340"/>
    <w:rsid w:val="00C6430C"/>
    <w:rsid w:val="00C643F9"/>
    <w:rsid w:val="00C64769"/>
    <w:rsid w:val="00C64E95"/>
    <w:rsid w:val="00C71372"/>
    <w:rsid w:val="00C72410"/>
    <w:rsid w:val="00C7287F"/>
    <w:rsid w:val="00C80CB8"/>
    <w:rsid w:val="00C819F8"/>
    <w:rsid w:val="00C8248C"/>
    <w:rsid w:val="00C84E33"/>
    <w:rsid w:val="00C86D6F"/>
    <w:rsid w:val="00C905FC"/>
    <w:rsid w:val="00C92D03"/>
    <w:rsid w:val="00C9319C"/>
    <w:rsid w:val="00C936B6"/>
    <w:rsid w:val="00C9435D"/>
    <w:rsid w:val="00C94AB8"/>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C7B91"/>
    <w:rsid w:val="00CD2808"/>
    <w:rsid w:val="00CD28BF"/>
    <w:rsid w:val="00CD4092"/>
    <w:rsid w:val="00CD4A20"/>
    <w:rsid w:val="00CD50A1"/>
    <w:rsid w:val="00CD519E"/>
    <w:rsid w:val="00CD561D"/>
    <w:rsid w:val="00CE0C4F"/>
    <w:rsid w:val="00CE1907"/>
    <w:rsid w:val="00CE30EA"/>
    <w:rsid w:val="00CF048A"/>
    <w:rsid w:val="00CF155A"/>
    <w:rsid w:val="00CF2947"/>
    <w:rsid w:val="00CF686F"/>
    <w:rsid w:val="00CF6E60"/>
    <w:rsid w:val="00CF7BCA"/>
    <w:rsid w:val="00CF7D7D"/>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0BE5"/>
    <w:rsid w:val="00D4162B"/>
    <w:rsid w:val="00D42278"/>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542"/>
    <w:rsid w:val="00DA1E08"/>
    <w:rsid w:val="00DA24F8"/>
    <w:rsid w:val="00DA28E8"/>
    <w:rsid w:val="00DA38D3"/>
    <w:rsid w:val="00DA3932"/>
    <w:rsid w:val="00DA3AFC"/>
    <w:rsid w:val="00DA5191"/>
    <w:rsid w:val="00DA64F8"/>
    <w:rsid w:val="00DA6C15"/>
    <w:rsid w:val="00DB0258"/>
    <w:rsid w:val="00DB38EE"/>
    <w:rsid w:val="00DB498B"/>
    <w:rsid w:val="00DB5168"/>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0FC0"/>
    <w:rsid w:val="00E01138"/>
    <w:rsid w:val="00E02DFB"/>
    <w:rsid w:val="00E030F9"/>
    <w:rsid w:val="00E0311A"/>
    <w:rsid w:val="00E03138"/>
    <w:rsid w:val="00E06404"/>
    <w:rsid w:val="00E065D2"/>
    <w:rsid w:val="00E11A85"/>
    <w:rsid w:val="00E12495"/>
    <w:rsid w:val="00E15CCD"/>
    <w:rsid w:val="00E16E9B"/>
    <w:rsid w:val="00E202EF"/>
    <w:rsid w:val="00E210B5"/>
    <w:rsid w:val="00E23D99"/>
    <w:rsid w:val="00E2552F"/>
    <w:rsid w:val="00E3137A"/>
    <w:rsid w:val="00E32CCF"/>
    <w:rsid w:val="00E34A98"/>
    <w:rsid w:val="00E35213"/>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2ECC"/>
    <w:rsid w:val="00E9311F"/>
    <w:rsid w:val="00E934D1"/>
    <w:rsid w:val="00E94AF0"/>
    <w:rsid w:val="00E95D13"/>
    <w:rsid w:val="00E95DD3"/>
    <w:rsid w:val="00E969D5"/>
    <w:rsid w:val="00EA58D1"/>
    <w:rsid w:val="00EA61BC"/>
    <w:rsid w:val="00EA681A"/>
    <w:rsid w:val="00EA735B"/>
    <w:rsid w:val="00EB02BA"/>
    <w:rsid w:val="00EB17DE"/>
    <w:rsid w:val="00EB1E69"/>
    <w:rsid w:val="00EB2086"/>
    <w:rsid w:val="00EB33BB"/>
    <w:rsid w:val="00EB5EDF"/>
    <w:rsid w:val="00EB60FE"/>
    <w:rsid w:val="00EB74DB"/>
    <w:rsid w:val="00EC1FA2"/>
    <w:rsid w:val="00EC2242"/>
    <w:rsid w:val="00EC5359"/>
    <w:rsid w:val="00EC562A"/>
    <w:rsid w:val="00ED067A"/>
    <w:rsid w:val="00ED147E"/>
    <w:rsid w:val="00ED2B50"/>
    <w:rsid w:val="00EE0350"/>
    <w:rsid w:val="00EE0719"/>
    <w:rsid w:val="00EE0E80"/>
    <w:rsid w:val="00EE0F62"/>
    <w:rsid w:val="00EE4F82"/>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5DD8"/>
    <w:rsid w:val="00F20E8A"/>
    <w:rsid w:val="00F21727"/>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A3F"/>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067"/>
    <w:rsid w:val="00FA4DAC"/>
    <w:rsid w:val="00FA662D"/>
    <w:rsid w:val="00FA73B1"/>
    <w:rsid w:val="00FB0CB9"/>
    <w:rsid w:val="00FB231D"/>
    <w:rsid w:val="00FB45F1"/>
    <w:rsid w:val="00FB4A72"/>
    <w:rsid w:val="00FB54E8"/>
    <w:rsid w:val="00FB7054"/>
    <w:rsid w:val="00FC17B7"/>
    <w:rsid w:val="00FC2CB7"/>
    <w:rsid w:val="00FC3B06"/>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14758A1"/>
    <w:rsid w:val="3BF33388"/>
    <w:rsid w:val="3E9E08E5"/>
    <w:rsid w:val="5EFF9CF0"/>
    <w:rsid w:val="6D5F46C4"/>
    <w:rsid w:val="7E2F0B2D"/>
    <w:rsid w:val="7F695400"/>
    <w:rsid w:val="8DF36952"/>
    <w:rsid w:val="FFCDA4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Lines="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qFormat/>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table" w:customStyle="1" w:styleId="230">
    <w:name w:val="Table Normal"/>
    <w:semiHidden/>
    <w:unhideWhenUsed/>
    <w:qFormat/>
    <w:uiPriority w:val="0"/>
    <w:rPr>
      <w:rFonts w:ascii="Arial" w:hAnsi="Arial" w:cs="Arial" w:eastAsiaTheme="minorEastAsia"/>
    </w:rPr>
    <w:tblPr>
      <w:tblCellMar>
        <w:top w:w="0" w:type="dxa"/>
        <w:left w:w="0" w:type="dxa"/>
        <w:bottom w:w="0" w:type="dxa"/>
        <w:right w:w="0" w:type="dxa"/>
      </w:tblCellMar>
    </w:tblPr>
  </w:style>
  <w:style w:type="paragraph" w:customStyle="1" w:styleId="231">
    <w:name w:val="段"/>
    <w:basedOn w:val="1"/>
    <w:qFormat/>
    <w:uiPriority w:val="0"/>
    <w:pPr>
      <w:widowControl/>
      <w:autoSpaceDE w:val="0"/>
      <w:autoSpaceDN w:val="0"/>
      <w:adjustRightInd/>
      <w:spacing w:line="240" w:lineRule="auto"/>
      <w:ind w:firstLine="200" w:firstLineChars="200"/>
    </w:pPr>
    <w:rPr>
      <w:rFonts w:ascii="宋体" w:hAnsi="Times New Roman"/>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8537652F6734802AA325146ED5BE7C5"/>
        <w:style w:val=""/>
        <w:category>
          <w:name w:val="常规"/>
          <w:gallery w:val="placeholder"/>
        </w:category>
        <w:types>
          <w:type w:val="bbPlcHdr"/>
        </w:types>
        <w:behaviors>
          <w:behavior w:val="content"/>
        </w:behaviors>
        <w:description w:val=""/>
        <w:guid w:val="{3D8B40B1-22DD-4914-A79A-5D2877308B80}"/>
      </w:docPartPr>
      <w:docPartBody>
        <w:p>
          <w:pPr>
            <w:pStyle w:val="5"/>
          </w:pPr>
          <w:r>
            <w:rPr>
              <w:rStyle w:val="4"/>
              <w:rFonts w:hint="eastAsia"/>
            </w:rPr>
            <w:t>单击或点击此处输入文字。</w:t>
          </w:r>
        </w:p>
      </w:docPartBody>
    </w:docPart>
    <w:docPart>
      <w:docPartPr>
        <w:name w:val="B6E01D11ACCD48F4B272F5228D639BEE"/>
        <w:style w:val=""/>
        <w:category>
          <w:name w:val="常规"/>
          <w:gallery w:val="placeholder"/>
        </w:category>
        <w:types>
          <w:type w:val="bbPlcHdr"/>
        </w:types>
        <w:behaviors>
          <w:behavior w:val="content"/>
        </w:behaviors>
        <w:description w:val=""/>
        <w:guid w:val="{B3C3685D-D6DE-49D6-8909-D742CF5F5967}"/>
      </w:docPartPr>
      <w:docPartBody>
        <w:p>
          <w:pPr>
            <w:pStyle w:val="6"/>
          </w:pPr>
          <w:r>
            <w:rPr>
              <w:rStyle w:val="4"/>
              <w:rFonts w:hint="eastAsia"/>
            </w:rPr>
            <w:t>选择一项。</w:t>
          </w:r>
        </w:p>
      </w:docPartBody>
    </w:docPart>
    <w:docPart>
      <w:docPartPr>
        <w:name w:val="5EA4EE4B415843FF847F69A8DFC0791B"/>
        <w:style w:val=""/>
        <w:category>
          <w:name w:val="常规"/>
          <w:gallery w:val="placeholder"/>
        </w:category>
        <w:types>
          <w:type w:val="bbPlcHdr"/>
        </w:types>
        <w:behaviors>
          <w:behavior w:val="content"/>
        </w:behaviors>
        <w:description w:val=""/>
        <w:guid w:val="{50D951C4-B315-4221-B9A1-57CBB7D1D38B}"/>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00000000" w:usb1="00000000" w:usb2="00000000" w:usb3="00000000" w:csb0="00160000"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00B62"/>
    <w:rsid w:val="0000059B"/>
    <w:rsid w:val="00200B62"/>
    <w:rsid w:val="0029555D"/>
    <w:rsid w:val="0040362B"/>
    <w:rsid w:val="00477164"/>
    <w:rsid w:val="00534E9F"/>
    <w:rsid w:val="00555CE9"/>
    <w:rsid w:val="00672F77"/>
    <w:rsid w:val="00AF7DC1"/>
    <w:rsid w:val="00C05458"/>
    <w:rsid w:val="00C57508"/>
    <w:rsid w:val="00E41E0A"/>
    <w:rsid w:val="00ED091A"/>
    <w:rsid w:val="00EE6BB9"/>
    <w:rsid w:val="00F70981"/>
    <w:rsid w:val="00F711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F8537652F6734802AA325146ED5BE7C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B6E01D11ACCD48F4B272F5228D639BE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EA4EE4B415843FF847F69A8DFC0791B"/>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7</Pages>
  <Words>520</Words>
  <Characters>2969</Characters>
  <Lines>24</Lines>
  <Paragraphs>6</Paragraphs>
  <TotalTime>2030</TotalTime>
  <ScaleCrop>false</ScaleCrop>
  <LinksUpToDate>false</LinksUpToDate>
  <CharactersWithSpaces>3483</CharactersWithSpaces>
  <Application>WPS Office_5.0.0.7550_F1E327BC-269C-435d-A152-05C5408002CA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2024-06-02T06:58:00Z</dcterms:created>
  <dc:creator>刘建良</dc:creator>
  <dc:description>&lt;config cover="true" show_menu="true" version="1.0.0" doctype="SDKXY"&gt;_x000d_
&lt;/config&gt;</dc:description>
  <cp:lastModifiedBy>王镇</cp:lastModifiedBy>
  <cp:lastPrinted>2020-09-01T10:00:00Z</cp:lastPrinted>
  <dcterms:modified xsi:type="dcterms:W3CDTF">2024-08-12T11:22:59Z</dcterms:modified>
  <dc:title>地方标准</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2052-5.0.0.7550</vt:lpwstr>
  </property>
  <property fmtid="{D5CDD505-2E9C-101B-9397-08002B2CF9AE}" pid="15" name="ICV">
    <vt:lpwstr>749A172B4CBF4C5094ED7289F6BB7441_12</vt:lpwstr>
  </property>
</Properties>
</file>